
<file path=[Content_Types].xml><?xml version="1.0" encoding="utf-8"?>
<Types xmlns="http://schemas.openxmlformats.org/package/2006/content-types">
  <Default Extension="jpeg" ContentType="image/jpeg"/>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53843DF" w14:textId="3A342D68" w:rsidR="008A6077" w:rsidRDefault="008A6077" w:rsidP="008A6077"/>
    <w:p w14:paraId="3051FA1D" w14:textId="77777777" w:rsidR="00BD47BB" w:rsidRDefault="00BD47BB" w:rsidP="00B120F3">
      <w:pPr>
        <w:pStyle w:val="Title"/>
        <w:sectPr w:rsidR="00BD47BB" w:rsidSect="00E31404">
          <w:headerReference w:type="default" r:id="rId7"/>
          <w:footerReference w:type="default" r:id="rId8"/>
          <w:headerReference w:type="first" r:id="rId9"/>
          <w:pgSz w:w="12240" w:h="15840"/>
          <w:pgMar w:top="1440" w:right="1440" w:bottom="1440" w:left="1440" w:header="432" w:footer="720" w:gutter="0"/>
          <w:cols w:space="720"/>
          <w:docGrid w:linePitch="360"/>
        </w:sectPr>
      </w:pPr>
    </w:p>
    <w:p w14:paraId="23ED1D6A" w14:textId="5A15E5C1" w:rsidR="00E65594" w:rsidRPr="00E65594" w:rsidRDefault="00E65594" w:rsidP="00E65594">
      <w:pPr>
        <w:pStyle w:val="Title"/>
      </w:pPr>
      <w:r w:rsidRPr="00E65594">
        <w:t>Surface Rupturing Earthquakes of the Greater Caucasus Frontal Thrusts, Azerbaijan</w:t>
      </w:r>
    </w:p>
    <w:p w14:paraId="08DD7484" w14:textId="7434D606" w:rsidR="00E65594" w:rsidRPr="00E65594" w:rsidRDefault="00E65594" w:rsidP="00E65594">
      <w:pPr>
        <w:pStyle w:val="Affiliation"/>
        <w:rPr>
          <w:b/>
          <w:vertAlign w:val="superscript"/>
        </w:rPr>
      </w:pPr>
      <w:r w:rsidRPr="00E65594">
        <w:rPr>
          <w:b/>
        </w:rPr>
        <w:t>Ian Pierce</w:t>
      </w:r>
      <w:r w:rsidRPr="00E65594">
        <w:rPr>
          <w:b/>
          <w:vertAlign w:val="superscript"/>
        </w:rPr>
        <w:t>1</w:t>
      </w:r>
    </w:p>
    <w:p w14:paraId="32CBB156" w14:textId="77777777" w:rsidR="00E65594" w:rsidRPr="00E65594" w:rsidRDefault="00E65594" w:rsidP="00E65594">
      <w:pPr>
        <w:pStyle w:val="Affiliation"/>
        <w:rPr>
          <w:b/>
        </w:rPr>
      </w:pPr>
      <w:r w:rsidRPr="00E65594">
        <w:rPr>
          <w:b/>
        </w:rPr>
        <w:t>Ibrahim Guliyev</w:t>
      </w:r>
      <w:r w:rsidRPr="00E65594">
        <w:rPr>
          <w:b/>
          <w:vertAlign w:val="superscript"/>
        </w:rPr>
        <w:t>2</w:t>
      </w:r>
    </w:p>
    <w:p w14:paraId="4B5F11B9" w14:textId="77777777" w:rsidR="00E65594" w:rsidRPr="00E65594" w:rsidRDefault="00E65594" w:rsidP="00E65594">
      <w:pPr>
        <w:pStyle w:val="Affiliation"/>
        <w:rPr>
          <w:b/>
        </w:rPr>
      </w:pPr>
      <w:proofErr w:type="spellStart"/>
      <w:r w:rsidRPr="00E65594">
        <w:rPr>
          <w:b/>
        </w:rPr>
        <w:t>Gurban</w:t>
      </w:r>
      <w:proofErr w:type="spellEnd"/>
      <w:r w:rsidRPr="00E65594">
        <w:rPr>
          <w:b/>
        </w:rPr>
        <w:t xml:space="preserve"> Yetirmishli</w:t>
      </w:r>
      <w:r w:rsidRPr="00E65594">
        <w:rPr>
          <w:b/>
          <w:vertAlign w:val="superscript"/>
        </w:rPr>
        <w:t>3</w:t>
      </w:r>
    </w:p>
    <w:p w14:paraId="1937CC1D" w14:textId="77777777" w:rsidR="00E65594" w:rsidRPr="00E65594" w:rsidRDefault="00E65594" w:rsidP="00E65594">
      <w:pPr>
        <w:pStyle w:val="Affiliation"/>
        <w:rPr>
          <w:b/>
        </w:rPr>
      </w:pPr>
      <w:r w:rsidRPr="00E65594">
        <w:rPr>
          <w:b/>
        </w:rPr>
        <w:t>Rauf Muradov</w:t>
      </w:r>
      <w:r w:rsidRPr="00E65594">
        <w:rPr>
          <w:b/>
          <w:vertAlign w:val="superscript"/>
        </w:rPr>
        <w:t>3</w:t>
      </w:r>
    </w:p>
    <w:p w14:paraId="0C9E2937" w14:textId="77777777" w:rsidR="00E65594" w:rsidRPr="00E65594" w:rsidRDefault="00E65594" w:rsidP="00E65594">
      <w:pPr>
        <w:pStyle w:val="Affiliation"/>
        <w:rPr>
          <w:b/>
        </w:rPr>
      </w:pPr>
      <w:r w:rsidRPr="00E65594">
        <w:rPr>
          <w:b/>
        </w:rPr>
        <w:t>Sabina Kazimova</w:t>
      </w:r>
      <w:r w:rsidRPr="00E65594">
        <w:rPr>
          <w:b/>
          <w:vertAlign w:val="superscript"/>
        </w:rPr>
        <w:t>3</w:t>
      </w:r>
    </w:p>
    <w:p w14:paraId="2A9FCAB2" w14:textId="77777777" w:rsidR="00E65594" w:rsidRPr="00E65594" w:rsidRDefault="00E65594" w:rsidP="00E65594">
      <w:pPr>
        <w:pStyle w:val="Affiliation"/>
        <w:rPr>
          <w:b/>
        </w:rPr>
      </w:pPr>
      <w:r w:rsidRPr="00E65594">
        <w:rPr>
          <w:b/>
        </w:rPr>
        <w:t>Rashid Javanshir</w:t>
      </w:r>
      <w:r w:rsidRPr="00E65594">
        <w:rPr>
          <w:b/>
          <w:vertAlign w:val="superscript"/>
        </w:rPr>
        <w:t>1,2</w:t>
      </w:r>
    </w:p>
    <w:p w14:paraId="4F2FCC7B" w14:textId="77777777" w:rsidR="00E65594" w:rsidRPr="00E65594" w:rsidRDefault="00E65594" w:rsidP="00E65594">
      <w:pPr>
        <w:pStyle w:val="Affiliation"/>
        <w:rPr>
          <w:b/>
          <w:vertAlign w:val="superscript"/>
        </w:rPr>
      </w:pPr>
      <w:r w:rsidRPr="00E65594">
        <w:rPr>
          <w:b/>
        </w:rPr>
        <w:t>Ben Johnson</w:t>
      </w:r>
      <w:r w:rsidRPr="00E65594">
        <w:rPr>
          <w:b/>
          <w:vertAlign w:val="superscript"/>
        </w:rPr>
        <w:t>1</w:t>
      </w:r>
    </w:p>
    <w:p w14:paraId="77C45EE6" w14:textId="77777777" w:rsidR="00E65594" w:rsidRPr="00E65594" w:rsidRDefault="00E65594" w:rsidP="00E65594">
      <w:pPr>
        <w:pStyle w:val="Affiliation"/>
        <w:rPr>
          <w:b/>
        </w:rPr>
      </w:pPr>
      <w:r w:rsidRPr="00E65594">
        <w:rPr>
          <w:b/>
        </w:rPr>
        <w:t>Neill Marshall</w:t>
      </w:r>
      <w:r w:rsidRPr="00E65594">
        <w:rPr>
          <w:b/>
          <w:vertAlign w:val="superscript"/>
        </w:rPr>
        <w:t>1</w:t>
      </w:r>
    </w:p>
    <w:p w14:paraId="4379A40D" w14:textId="77777777" w:rsidR="00E65594" w:rsidRPr="00E65594" w:rsidRDefault="00E65594" w:rsidP="00E65594">
      <w:pPr>
        <w:pStyle w:val="Affiliation"/>
        <w:rPr>
          <w:b/>
        </w:rPr>
      </w:pPr>
      <w:r w:rsidRPr="00E65594">
        <w:rPr>
          <w:b/>
        </w:rPr>
        <w:t>Richard Walker</w:t>
      </w:r>
      <w:r w:rsidRPr="00E65594">
        <w:rPr>
          <w:b/>
          <w:vertAlign w:val="superscript"/>
        </w:rPr>
        <w:t>1</w:t>
      </w:r>
    </w:p>
    <w:p w14:paraId="2C97625D" w14:textId="77777777" w:rsidR="00E65594" w:rsidRPr="00E65594" w:rsidRDefault="00E65594" w:rsidP="00E65594">
      <w:pPr>
        <w:pStyle w:val="Affiliation"/>
        <w:rPr>
          <w:b/>
        </w:rPr>
      </w:pPr>
      <w:r w:rsidRPr="00E65594">
        <w:rPr>
          <w:b/>
        </w:rPr>
        <w:t>Paul Wordsworth</w:t>
      </w:r>
      <w:r w:rsidRPr="00E65594">
        <w:rPr>
          <w:b/>
          <w:vertAlign w:val="superscript"/>
        </w:rPr>
        <w:t>1</w:t>
      </w:r>
    </w:p>
    <w:p w14:paraId="70FC651E" w14:textId="78D67068" w:rsidR="00C94AA5" w:rsidRDefault="00C94AA5" w:rsidP="00B719C8">
      <w:pPr>
        <w:pStyle w:val="Affiliation"/>
      </w:pPr>
    </w:p>
    <w:p w14:paraId="56008C34" w14:textId="77777777" w:rsidR="00E65594" w:rsidRPr="00E65594" w:rsidRDefault="00E65594" w:rsidP="00E65594">
      <w:pPr>
        <w:pStyle w:val="Affiliation"/>
      </w:pPr>
      <w:r w:rsidRPr="00E65594">
        <w:rPr>
          <w:vertAlign w:val="superscript"/>
        </w:rPr>
        <w:t xml:space="preserve">1 </w:t>
      </w:r>
      <w:r w:rsidRPr="00E65594">
        <w:t>University of Oxford, 3 S Parks Road, Oxford, United Kingdom OX13AN</w:t>
      </w:r>
    </w:p>
    <w:p w14:paraId="6E0F999A" w14:textId="77777777" w:rsidR="00E65594" w:rsidRPr="00E65594" w:rsidRDefault="00E65594" w:rsidP="00E65594">
      <w:pPr>
        <w:pStyle w:val="Affiliation"/>
        <w:rPr>
          <w:vertAlign w:val="superscript"/>
        </w:rPr>
      </w:pPr>
      <w:r w:rsidRPr="00E65594">
        <w:rPr>
          <w:vertAlign w:val="superscript"/>
        </w:rPr>
        <w:t xml:space="preserve">2 </w:t>
      </w:r>
      <w:r w:rsidRPr="00E65594">
        <w:t>Azerbaijan National Academy of Science, Baku, Azerbaijan</w:t>
      </w:r>
    </w:p>
    <w:p w14:paraId="6784ACAB" w14:textId="77777777" w:rsidR="00E65594" w:rsidRPr="00E65594" w:rsidRDefault="00E65594" w:rsidP="00E65594">
      <w:pPr>
        <w:pStyle w:val="Affiliation"/>
      </w:pPr>
      <w:r w:rsidRPr="00E65594">
        <w:rPr>
          <w:vertAlign w:val="superscript"/>
        </w:rPr>
        <w:t xml:space="preserve">3 </w:t>
      </w:r>
      <w:r w:rsidRPr="00E65594">
        <w:t>Republican Seismic Survey Center of Azerbaijan National Academy of Science, Baku, Azerbaijan</w:t>
      </w:r>
    </w:p>
    <w:p w14:paraId="297919C9" w14:textId="77777777" w:rsidR="00E65594" w:rsidRDefault="00E65594" w:rsidP="003137C3">
      <w:pPr>
        <w:pStyle w:val="Affiliation"/>
        <w:rPr>
          <w:vertAlign w:val="superscript"/>
        </w:rPr>
      </w:pPr>
    </w:p>
    <w:p w14:paraId="5614852F" w14:textId="34E35F4F" w:rsidR="00DE3F91" w:rsidRDefault="008A6077" w:rsidP="003137C3">
      <w:pPr>
        <w:pStyle w:val="Affiliation"/>
      </w:pPr>
      <w:r>
        <w:t>Correspond</w:t>
      </w:r>
      <w:r w:rsidR="00DE3F91">
        <w:t>ing</w:t>
      </w:r>
      <w:r>
        <w:t xml:space="preserve"> </w:t>
      </w:r>
      <w:r w:rsidR="006F662E">
        <w:t>author:</w:t>
      </w:r>
      <w:r>
        <w:t xml:space="preserve"> </w:t>
      </w:r>
      <w:r w:rsidR="00E65594">
        <w:t>Ian Pierce</w:t>
      </w:r>
      <w:r w:rsidR="00DE3F91">
        <w:t xml:space="preserve"> (</w:t>
      </w:r>
      <w:hyperlink r:id="rId10" w:history="1">
        <w:r w:rsidR="00E65594" w:rsidRPr="00400960">
          <w:rPr>
            <w:rStyle w:val="Hyperlink"/>
          </w:rPr>
          <w:t>ian.pierce@earth.ox.ac.uk)</w:t>
        </w:r>
      </w:hyperlink>
      <w:r w:rsidR="00DE3F91">
        <w:t xml:space="preserve"> </w:t>
      </w:r>
    </w:p>
    <w:p w14:paraId="52EAA876" w14:textId="0F4D9CB3" w:rsidR="00C94AA5" w:rsidRDefault="00C94AA5" w:rsidP="005358D5">
      <w:pPr>
        <w:pStyle w:val="Heading-Main"/>
      </w:pPr>
      <w:r>
        <w:t>Key Points:</w:t>
      </w:r>
    </w:p>
    <w:p w14:paraId="1F0D08A5" w14:textId="574CFBBE" w:rsidR="00E65594" w:rsidRPr="00E65594" w:rsidRDefault="00E65594" w:rsidP="00E65594">
      <w:pPr>
        <w:pStyle w:val="ListParagraph"/>
        <w:numPr>
          <w:ilvl w:val="0"/>
          <w:numId w:val="16"/>
        </w:numPr>
        <w:rPr>
          <w:rFonts w:ascii="Times New Roman" w:eastAsia="Times New Roman" w:hAnsi="Times New Roman" w:cs="Times New Roman"/>
        </w:rPr>
      </w:pPr>
      <w:r w:rsidRPr="00E65594">
        <w:rPr>
          <w:rFonts w:ascii="Times New Roman" w:eastAsia="Times New Roman" w:hAnsi="Times New Roman" w:cs="Times New Roman"/>
        </w:rPr>
        <w:t xml:space="preserve">A paleoseismic trench near </w:t>
      </w:r>
      <w:proofErr w:type="spellStart"/>
      <w:r w:rsidRPr="00E65594">
        <w:rPr>
          <w:rFonts w:ascii="Times New Roman" w:eastAsia="Times New Roman" w:hAnsi="Times New Roman" w:cs="Times New Roman"/>
        </w:rPr>
        <w:t>Agsu</w:t>
      </w:r>
      <w:proofErr w:type="spellEnd"/>
      <w:r w:rsidRPr="00E65594">
        <w:rPr>
          <w:rFonts w:ascii="Times New Roman" w:eastAsia="Times New Roman" w:hAnsi="Times New Roman" w:cs="Times New Roman"/>
        </w:rPr>
        <w:t>, Azerbaijan provides evidence of two surface rupturing events since medieval times.</w:t>
      </w:r>
    </w:p>
    <w:p w14:paraId="5211642D" w14:textId="13AAB9FF" w:rsidR="00E65594" w:rsidRPr="00E65594" w:rsidRDefault="00E65594" w:rsidP="00E65594">
      <w:pPr>
        <w:pStyle w:val="ListParagraph"/>
        <w:numPr>
          <w:ilvl w:val="0"/>
          <w:numId w:val="16"/>
        </w:numPr>
        <w:rPr>
          <w:rFonts w:ascii="Times New Roman" w:eastAsia="Times New Roman" w:hAnsi="Times New Roman" w:cs="Times New Roman"/>
        </w:rPr>
      </w:pPr>
      <w:r w:rsidRPr="00E65594">
        <w:rPr>
          <w:rFonts w:ascii="Times New Roman" w:eastAsia="Times New Roman" w:hAnsi="Times New Roman" w:cs="Times New Roman"/>
        </w:rPr>
        <w:t xml:space="preserve">These events occurred AD 1713-1895 and </w:t>
      </w:r>
      <w:proofErr w:type="gramStart"/>
      <w:r w:rsidRPr="00E65594">
        <w:rPr>
          <w:rFonts w:ascii="Times New Roman" w:eastAsia="Times New Roman" w:hAnsi="Times New Roman" w:cs="Times New Roman"/>
        </w:rPr>
        <w:t>1872-2003, and</w:t>
      </w:r>
      <w:proofErr w:type="gramEnd"/>
      <w:r w:rsidRPr="00E65594">
        <w:rPr>
          <w:rFonts w:ascii="Times New Roman" w:eastAsia="Times New Roman" w:hAnsi="Times New Roman" w:cs="Times New Roman"/>
        </w:rPr>
        <w:t xml:space="preserve"> may correspond to historical earthquakes that destroyed Shamakhi in 1668 and 1902. </w:t>
      </w:r>
    </w:p>
    <w:p w14:paraId="003D0212" w14:textId="145B9EC5" w:rsidR="00E65594" w:rsidRPr="00E65594" w:rsidRDefault="00E65594" w:rsidP="00E65594">
      <w:pPr>
        <w:pStyle w:val="ListParagraph"/>
        <w:numPr>
          <w:ilvl w:val="0"/>
          <w:numId w:val="16"/>
        </w:numPr>
        <w:rPr>
          <w:rFonts w:ascii="Times New Roman" w:eastAsia="Times New Roman" w:hAnsi="Times New Roman" w:cs="Times New Roman"/>
        </w:rPr>
      </w:pPr>
      <w:r w:rsidRPr="00E65594">
        <w:rPr>
          <w:rFonts w:ascii="Times New Roman" w:eastAsia="Times New Roman" w:hAnsi="Times New Roman" w:cs="Times New Roman"/>
        </w:rPr>
        <w:t>Maximum shortening and dip-slip rates of the frontal thrust sheet in the eastern Kura fold-thrust belt are 8 and 8.5 mm/</w:t>
      </w:r>
      <w:proofErr w:type="spellStart"/>
      <w:r w:rsidRPr="00E65594">
        <w:rPr>
          <w:rFonts w:ascii="Times New Roman" w:eastAsia="Times New Roman" w:hAnsi="Times New Roman" w:cs="Times New Roman"/>
        </w:rPr>
        <w:t>yr</w:t>
      </w:r>
      <w:proofErr w:type="spellEnd"/>
      <w:r w:rsidRPr="00E65594">
        <w:rPr>
          <w:rFonts w:ascii="Times New Roman" w:eastAsia="Times New Roman" w:hAnsi="Times New Roman" w:cs="Times New Roman"/>
        </w:rPr>
        <w:t xml:space="preserve">, respectively. </w:t>
      </w:r>
    </w:p>
    <w:p w14:paraId="5C03B4CB" w14:textId="77777777" w:rsidR="00B719C8" w:rsidRDefault="00B719C8">
      <w:pPr>
        <w:rPr>
          <w:color w:val="00B0F0"/>
        </w:rPr>
      </w:pPr>
      <w:r>
        <w:br w:type="page"/>
      </w:r>
    </w:p>
    <w:p w14:paraId="2659CCE1" w14:textId="77777777" w:rsidR="002F3B11" w:rsidRDefault="008A6077" w:rsidP="00C81368">
      <w:pPr>
        <w:pStyle w:val="Heading-Main"/>
      </w:pPr>
      <w:r w:rsidRPr="00987EE5">
        <w:lastRenderedPageBreak/>
        <w:t>Abstract</w:t>
      </w:r>
    </w:p>
    <w:p w14:paraId="68F28C3A" w14:textId="77777777" w:rsidR="00E65594" w:rsidRDefault="00E65594" w:rsidP="00E65594">
      <w:pPr>
        <w:pStyle w:val="Abstract"/>
        <w:ind w:firstLine="720"/>
      </w:pPr>
      <w:r w:rsidRPr="00E65594">
        <w:t>Quaternary convergence at rates of ~10 mm/</w:t>
      </w:r>
      <w:proofErr w:type="spellStart"/>
      <w:r w:rsidRPr="00E65594">
        <w:t>yr</w:t>
      </w:r>
      <w:proofErr w:type="spellEnd"/>
      <w:r w:rsidRPr="00E65594">
        <w:t xml:space="preserve"> between the Arabian and Eurasian plates is largely accommodated by the Kura fold-thrust belt at the longitude of the Greater Caucasus Mountains in Azerbaijan and eastern Georgia. Here we present the results of the first paleoseismic study of the Kura fold-thrust belt in Azerbaijan. A single paleoseismic trench was excavated across a 2-m-high fault scarp near </w:t>
      </w:r>
      <w:proofErr w:type="spellStart"/>
      <w:r w:rsidRPr="00E65594">
        <w:t>Agsu</w:t>
      </w:r>
      <w:proofErr w:type="spellEnd"/>
      <w:r w:rsidRPr="00E65594">
        <w:t xml:space="preserve"> revealing evidence of two recent surface rupturing earthquakes. Radiocarbon dating of the faulted sediments places limits of earthquake timing of AD 1713-1895 and AD 1872-2003 for the two events. Allowing for uncertainties in radiocarbon dating, the two events likely correspond to historical destructive M~7 earthquakes near Shamakhi, Azerbaijan in AD 1668 and 1902. Holocene shortening and dip-slip rates for the Kura fold-thrust belt are 8 and 8.5 mm/</w:t>
      </w:r>
      <w:proofErr w:type="spellStart"/>
      <w:r w:rsidRPr="00E65594">
        <w:t>yr</w:t>
      </w:r>
      <w:proofErr w:type="spellEnd"/>
      <w:r w:rsidRPr="00E65594">
        <w:t xml:space="preserve">, respectively, based on the depositional age of an abandoned uplifted strath terrace in a water gap to the west of </w:t>
      </w:r>
      <w:proofErr w:type="spellStart"/>
      <w:r w:rsidRPr="00E65594">
        <w:t>Agsu</w:t>
      </w:r>
      <w:proofErr w:type="spellEnd"/>
      <w:r w:rsidRPr="00E65594">
        <w:t xml:space="preserve">. These rates should be treated as maxima, as they are ~100% of the previously determined structurally and geodetically measured shortening across the </w:t>
      </w:r>
      <w:proofErr w:type="gramStart"/>
      <w:r w:rsidRPr="00E65594">
        <w:t>belt, and</w:t>
      </w:r>
      <w:proofErr w:type="gramEnd"/>
      <w:r w:rsidRPr="00E65594">
        <w:t xml:space="preserve"> were measured from only one of two primary structures in this part of the belt. The lack of reported historical ruptures from the past 8 centuries to the west of </w:t>
      </w:r>
      <w:proofErr w:type="spellStart"/>
      <w:r w:rsidRPr="00E65594">
        <w:t>Agsu</w:t>
      </w:r>
      <w:proofErr w:type="spellEnd"/>
      <w:r w:rsidRPr="00E65594">
        <w:t xml:space="preserve">, in contrast with the numerous recorded destructive earthquakes of the Shamakhi region, suggests that the central and western parts of the Kura fold-thrust belt produce less frequent, but more destructive earthquakes, and may have accumulated sufficient strain to produce a M&gt;8 earthquake. </w:t>
      </w:r>
    </w:p>
    <w:p w14:paraId="5AE402C8" w14:textId="77777777" w:rsidR="00E65594" w:rsidRDefault="00E65594" w:rsidP="00DE3F91">
      <w:pPr>
        <w:pStyle w:val="Abstract"/>
      </w:pPr>
    </w:p>
    <w:p w14:paraId="69A5DBFD" w14:textId="338A4774" w:rsidR="00FC3EAC" w:rsidRPr="00FC3EAC" w:rsidRDefault="00FC3EAC" w:rsidP="00DE3F91">
      <w:pPr>
        <w:pStyle w:val="Abstract"/>
        <w:rPr>
          <w:b/>
        </w:rPr>
      </w:pPr>
      <w:r w:rsidRPr="00FC3EAC">
        <w:rPr>
          <w:b/>
        </w:rPr>
        <w:t>Plain Language Summary</w:t>
      </w:r>
    </w:p>
    <w:p w14:paraId="1AF56509" w14:textId="3DCD8FD7" w:rsidR="00FC3EAC" w:rsidRDefault="00E65594" w:rsidP="00E65594">
      <w:pPr>
        <w:pStyle w:val="Abstract"/>
      </w:pPr>
      <w:r w:rsidRPr="00E65594">
        <w:t xml:space="preserve">The Greater Caucasus Mountains stretching between the Black and Caspian Seas are a result of the northward subduction of the Arabian plate beneath Eurasia. For the last 2 million years, most of this plate motion has been accommodated by the Kura fold-thrust belt in Azerbaijan &amp; eastern Georgia. This plate motion produces periodic large earthquakes. Here a paleoseismic trenching investigation revealed evidence of two large earthquakes in the eastern part of the Kura fold-thrust belt. These earthquakes likely correspond to known historical earthquakes in 1668 and 1902. A lack of historical earthquakes to the west of this study area suggests that the rest of the Kura fold-thrust belt may produce less frequent, but more devastating earthquakes along this plate boundary. </w:t>
      </w:r>
    </w:p>
    <w:p w14:paraId="2B7C9A8E" w14:textId="2AFE27B9" w:rsidR="00E65594" w:rsidRDefault="00E65594"/>
    <w:p w14:paraId="0A14AD10" w14:textId="77777777" w:rsidR="00B5234D" w:rsidRDefault="00B5234D">
      <w:pPr>
        <w:rPr>
          <w:rFonts w:eastAsia="Times New Roman"/>
          <w:b/>
          <w:bCs/>
          <w:kern w:val="28"/>
          <w:sz w:val="24"/>
          <w:szCs w:val="24"/>
        </w:rPr>
      </w:pPr>
      <w:r>
        <w:br w:type="page"/>
      </w:r>
    </w:p>
    <w:p w14:paraId="43E970B6" w14:textId="0AFC3F4A" w:rsidR="00E65594" w:rsidRPr="00853CD5" w:rsidRDefault="00E65594" w:rsidP="00E65594">
      <w:pPr>
        <w:pStyle w:val="Heading-AGU"/>
      </w:pPr>
      <w:r w:rsidRPr="00853CD5">
        <w:lastRenderedPageBreak/>
        <w:t xml:space="preserve">1 </w:t>
      </w:r>
      <w:r w:rsidRPr="00853CD5">
        <w:t>Introduction</w:t>
      </w:r>
    </w:p>
    <w:p w14:paraId="6D95E083" w14:textId="77777777" w:rsidR="00E65594" w:rsidRPr="00853CD5" w:rsidRDefault="00E65594" w:rsidP="00E65594">
      <w:pPr>
        <w:ind w:firstLine="720"/>
        <w:jc w:val="both"/>
        <w:rPr>
          <w:b/>
          <w:i/>
          <w:sz w:val="24"/>
          <w:szCs w:val="24"/>
        </w:rPr>
      </w:pPr>
      <w:r w:rsidRPr="00853CD5">
        <w:rPr>
          <w:sz w:val="24"/>
          <w:szCs w:val="24"/>
        </w:rPr>
        <w:t>The Greater Caucasus Mountains stretch for 900 km between the Black and Caspian Seas (</w:t>
      </w:r>
      <w:r w:rsidRPr="00853CD5">
        <w:rPr>
          <w:b/>
          <w:sz w:val="24"/>
          <w:szCs w:val="24"/>
        </w:rPr>
        <w:t>Figure 1</w:t>
      </w:r>
      <w:r w:rsidRPr="00853CD5">
        <w:rPr>
          <w:sz w:val="24"/>
          <w:szCs w:val="24"/>
        </w:rPr>
        <w:t xml:space="preserve">). The Greater Caucasus have been uplifted since ~5 Ma as a result of the northeast-directed subduction of the Arabian plate beneath the Eurasian plate </w:t>
      </w:r>
      <w:r w:rsidRPr="00853CD5">
        <w:rPr>
          <w:sz w:val="24"/>
          <w:szCs w:val="24"/>
        </w:rPr>
        <w:fldChar w:fldCharType="begin"/>
      </w:r>
      <w:r w:rsidRPr="00853CD5">
        <w:rPr>
          <w:sz w:val="24"/>
          <w:szCs w:val="24"/>
        </w:rPr>
        <w:instrText xml:space="preserve"> ADDIN ZOTERO_ITEM CSL_CITATION {"citationID":"wRJInpt4","properties":{"formattedCitation":"(Avdeev and Niemi, 2011; Cowgill et al., 2016; Forte et al., 2015; Gunnels et al., 2021; Jackson et al., 2002; Kangarli et al., 2018; McKenzie, 1972; Mumladze et al., 2015; Philip et al., 1989)","plainCitation":"(Avdeev and Niemi, 2011; Cowgill et al., 2016; Forte et al., 2015; Gunnels et al., 2021; Jackson et al., 2002; Kangarli et al., 2018; McKenzie, 1972; Mumladze et al., 2015; Philip et al., 1989)","noteIndex":0},"citationItems":[{"id":3102,"uris":["http://zotero.org/users/1958668/items/K8JWWNNK"],"itemData":{"id":3102,"type":"article-journal","abstract":"Constraining the timing of onset and rates of deformation within the Greater Caucasus mountains is key to understanding their role in accommodating deformation across the Arabia-Eurasia orogen. We present new low-temperature thermochronometric constraints on the Cenozoic thermal evolution of the central Greater Caucasus that elucidate a three-phase cooling history. Between 50 and 30 Ma, cooling within the range was negligible. In Oligocene time, cooling rates throughout the range increased to </w:instrText>
      </w:r>
      <w:r w:rsidRPr="00853CD5">
        <w:rPr>
          <w:rFonts w:ascii="Cambria Math" w:hAnsi="Cambria Math" w:cs="Cambria Math"/>
          <w:sz w:val="24"/>
          <w:szCs w:val="24"/>
        </w:rPr>
        <w:instrText>∼</w:instrText>
      </w:r>
      <w:r w:rsidRPr="00853CD5">
        <w:rPr>
          <w:sz w:val="24"/>
          <w:szCs w:val="24"/>
        </w:rPr>
        <w:instrText xml:space="preserve">4°C/Myr. These rates remained constant until the early Pliocene time, when they increased again, reaching </w:instrText>
      </w:r>
      <w:r w:rsidRPr="00853CD5">
        <w:rPr>
          <w:rFonts w:ascii="Cambria Math" w:hAnsi="Cambria Math" w:cs="Cambria Math"/>
          <w:sz w:val="24"/>
          <w:szCs w:val="24"/>
        </w:rPr>
        <w:instrText>∼</w:instrText>
      </w:r>
      <w:r w:rsidRPr="00853CD5">
        <w:rPr>
          <w:sz w:val="24"/>
          <w:szCs w:val="24"/>
        </w:rPr>
        <w:instrText>25°C/Myr along the axial part of the range. Rates and timing of Oligocene exhumation are consistent with previous results from the western Greater Caucasus and are proposed to result from onset of subduction of the Greater Caucasus back-arc basin. Rapid exhumation of the Greater Caucasus, beginning in Pliocene time, contrasts with previously reported thermal histories for other portions of the range. Pliocene exhumation of the central Greater Caucasus appears to be tectonically driven and coincides with widespread evidence for a major reorganization of the Arabia-Eurasia plate boundary. We hypothesize that this exhumation, and regionally observed plate reorganization, results from the collision of the Lesser Caucasus with Eurasia, completing the subduction of oceanic lithosphere across this segment of the Arabia-Eurasia plate boundary.","container-title":"Tectonics","DOI":"10.1029/2010TC002808","ISSN":"1944-9194","issue":"2","language":"en","note":"_eprint: https://onlinelibrary.wiley.com/doi/pdf/10.1029/2010TC002808","source":"Wiley Online Library","title":"Rapid Pliocene exhumation of the central Greater Caucasus constrained by low-temperature thermochronometry","URL":"https://onlinelibrary.wiley.com/doi/abs/10.1029/2010TC002808","volume":"30","author":[{"family":"Avdeev","given":"Boris"},{"family":"Niemi","given":"Nathan A."}],"accessed":{"date-parts":[["2022",11,1]]},"issued":{"date-parts":[["2011"]]}}},{"id":857,"uris":["http://zotero.org/users/1958668/items/824LP5Q4"],"itemData":{"id":857,"type":"article-journal","abstract":"Comparison of plate convergence with the timing and magnitude of upper crustal shortening in collisional orogens indicates both shortening deficits (200–1700 km) and significant (10–40%) plate deceleration during collision, the cause(s) for which remains debated. The Greater Caucasus Mountains, which result from postcollisional Cenozoic closure of a relict Mesozoic back-arc basin on the northern margin of the Arabia-Eurasia collision zone, help reconcile these debates. Here we use U-Pb detrital zircon provenance data and the regional geology of the Caucasus to investigate the width of the now-consumed Mesozoic back-arc basin and its closure history. The provenance data record distinct southern and northern provenance domains that persisted until at least the Miocene. Maximum basin width was likely 350–400 km. We propose that closure of the back-arc basin initiated at 35 Ma, coincident with initial (soft) Arabia-Eurasia collision along the Bitlis-Zagros suture, eventually leading to 5 Ma (hard) collision between the Lesser Caucasus arc and the Scythian platform to form the Greater Caucasus Mountains. Final basin closure triggered deceleration of plate convergence and tectonic reorganization throughout the collision. Postcollisional subduction of such small (102–103 km wide) relict ocean basins can account for both shortening deficits and delays in plate deceleration by accommodating convergence via subduction/underthrusting, although such shortening is easily missed if it occurs along structures hidden within flysch/slate belts. Relict basin closure is likely typical in continental collisions in which the colliding margins are either irregularly shaped or rimmed by extensive back-arc basins and fringing arcs, such as those in the modern South Pacific.","container-title":"Tectonics","DOI":"10.1002/2016TC004295","ISSN":"1944-9194","issue":"12","language":"en","license":"©2016. American Geophysical Union. All Rights Reserved.","page":"2918-2947","source":"Wiley Online Library","title":"Relict basin closure and crustal shortening budgets during continental collision: An example from Caucasus sediment provenance","title-short":"Relict basin closure and crustal shortening budgets during continental collision","volume":"35","author":[{"family":"Cowgill","given":"Eric"},{"family":"Forte","given":"Adam M."},{"family":"Niemi","given":"Nathan"},{"family":"Avdeev","given":"Boris"},{"family":"Tye","given":"Alex"},{"family":"Trexler","given":"Charles"},{"family":"Javakhishvili","given":"Zurab"},{"family":"Elashvili","given":"Mikheil"},{"family":"Godoladze","given":"Tea"}],"issued":{"date-parts":[["2016"]]}}},{"id":851,"uris":["http://zotero.org/users/1958668/items/DZBL5A9H"],"itemData":{"id":851,"type":"article-journal","abstract":"Abstract Relative ages of late Cenozoic stratigraphy throughout the Caspian region are referenced to regional stages that are defined by changes in microfauna and associated extreme (&amp;gt;1000 m) variations in Caspian base level. However, the absolute ages of these stage boundaries may be significantly diachronous because many are based on the first occurrence of either transgressive or regressive facies, the temporal occurrence of which should depend on position within a basin. Here, we estimate the degree of diachroneity along the Akchagyl regional stage boundary within the Caspian basin system by presenting two late Miocene‐Pliocene aged measured sections, Sarica and Vashlovani, separated by 50 km and exposed within the Kura fold‐thrust belt in the interior of the Kura Basin. The Kura Basin is a western subbasin of the South Caspian Basin and the sections presented here are located &amp;gt;250 km from the modern Caspian coast. New U‐Pb detrital zircon ages from the Sarica section constrain the maximum depositional age for Productive Series strata, a lithostratigraphic package considered correlative with the 2–3 Myr‐long regional Eoakchagylian or Kimmerian stage that corresponds to a period of extremely low (&amp;gt;500 m below the modern level) Caspian base level. This new maximum depositional age from the Productive Series at Sarica of 2.5 ± 0.2 Ma indicates that the regionally extensive Akchagyl transgression, which ended the deposition of the Productive Series near the Caspian coast at 3.2 Ma, may have appeared a minimum of 0.5 Myr later in the northern interior of the Kura Basin than at the modern Caspian Sea coast. The results of this work have important implications for the tectonic and stratigraphic history of the region, suggesting that the initiation of the Plio‐Pleistocene Kura fold‐thrust belt may have not been as diachronous along strike as previously hypothesized. More generally, these results also provide a measure of the magnitude of diachroneity possible along sequence boundaries, particularly in isolated basins. Comparison of accumulation rates between units in the interior of the Kura subbasin and the South Caspian main basin suggest that extremely large variations in these rates within low‐stand deposits may be important in identifying the presence of subbasins in older stratigraphic packages.","container-title":"Basin Research","DOI":"10.1111/bre.12069","ISSN":"1365-2117","issue":"3","language":"en","page":"247-271","source":"www.earthdoc.org","title":"Late Miocene to Pliocene stratigraphy of the Kura Basin, a subbasin of the South Caspian Basin: implications for the diachroneity of stage boundaries","title-short":"Late Miocene to Pliocene stratigraphy of the Kura Basin, a subbasin of the South Caspian Basin","volume":"27","author":[{"family":"Forte","given":"Adam M."},{"family":"Sumner","given":"Dawn Y."},{"family":"Cowgill","given":"Eric"},{"family":"Stoica","given":"Marius"},{"family":"Murtuzayev","given":"Ibrahim"},{"family":"Kangarli","given":"Talat"},{"family":"Elashvili","given":"Mikheil"},{"family":"Godoladze","given":"Tea"},{"family":"Javakhishvili","given":"Zurab"}],"issued":{"date-parts":[["2015",5,5]]}}},{"id":3198,"uris":["http://zotero.org/users/1958668/items/7C3MTRXB"],"itemData":{"id":3198,"type":"article-journal","abstract":"We generated high-resolution 3-D seismic velocity models as well as a relocated earthquake catalogue across the eastern Greater Caucasus and Kura basins. This work was done using data from the recently upgraded Republic Seismological Survey Center's (RSSC) seismic network. We generated our tomographic images of crustal velocity structure in Azerbaijan using double-difference inversions (i.e. tomoDD and hypoDD). Earthquake catalogues from the RSSC between 2011 and 2016 were used; these catalogues include absolute arrival times of 103 288 P- and 120 952 S-wave traveltime picks for 7574 events recorded at 35 stations in Azerbaijan. Beginning with a layered, 1-D velocity model that was estimated using VELEST, we inverted simultaneously for relative location, Vp and Vs on a 3-D grid with dimensions 670 × 445 × 45 km, with a uniform grid spacing of 55 × 55 × 5 km for all of Azerbaijan. We observe that the relocated hypocentres cluster into two depth ranges, at the surface and at depth, that appear to correspond to major fault zones and the top of a subducting plate. Additionally, we note intermediate depth seismicity (</w:instrText>
      </w:r>
      <w:r w:rsidRPr="00853CD5">
        <w:rPr>
          <w:rFonts w:ascii="Cambria Math" w:hAnsi="Cambria Math" w:cs="Cambria Math"/>
          <w:sz w:val="24"/>
          <w:szCs w:val="24"/>
        </w:rPr>
        <w:instrText>∼</w:instrText>
      </w:r>
      <w:r w:rsidRPr="00853CD5">
        <w:rPr>
          <w:sz w:val="24"/>
          <w:szCs w:val="24"/>
        </w:rPr>
        <w:instrText xml:space="preserve">50–60 km) beneath the Kura Basin, and a northward deepening of earthquake depths. Seismic velocities vary significantly throughout the study region; we observe very slow velocities throughout the Kura Basin between 5 and 15 km, and elevated velocities at 20–35 km. The wholesale velocity structure and seismic structure of Kura Basin strongly mirrors that of the Caspian Sea, which suggests that the geodynamics of the Caspian continue westwards into Azerbaijan. The key results of this study suggest that the northward subduction observed in the Caspian Sea continues beneath the Eastern Greater Caucasus, as well as provides evidence for active faulting along the southern margin of the mountain range.","container-title":"Geophysical Journal International","DOI":"10.1093/gji/ggaa522","ISSN":"0956-540X","issue":"3","journalAbbreviation":"Geophysical Journal International","page":"1825-1834","source":"Silverchair","title":"Seismotectonic evidence for subduction beneath the Eastern Greater Caucasus","volume":"224","author":[{"family":"Gunnels","given":"Michael"},{"family":"Yetrimishli","given":"Gurban"},{"family":"Kazimova","given":"Sabina"},{"family":"Sandvol","given":"Eric"}],"issued":{"date-parts":[["2021",3,1]]}}},{"id":981,"uris":["http://zotero.org/users/1958668/items/SHPI8HQC"],"itemData":{"id":981,"type":"article-journal","abstract":"Summary.  We use observations of surface faulting, well-constrained earthquake focal mechanisms and centroid depths, and velocity structure determined by surfac","container-title":"Geophysical Journal International","DOI":"10.1046/j.1365-246X.2002.01588.x","ISSN":"0956-540X","issue":"2","journalAbbreviation":"Geophys J Int","language":"en","page":"214-245","source":"academic.oup.com","title":"Active tectonics of the South Caspian Basin","volume":"148","author":[{"family":"Jackson","given":"James"},{"family":"Priestley","given":"Keith"},{"family":"Allen","given":"Mark"},{"family":"Berberian","given":"Manuel"}],"issued":{"date-parts":[["2002",2,1]]}}},{"id":3193,"uris":["http://zotero.org/users/1958668/items/SP4XWYVP"],"itemData":{"id":3193,"type":"article-journal","abstract":"Сетевое издание «Геодинамика и тектонофизика»","container-title":"Geodynamics and tectonophysics","DOI":"https://doi.org/10.5800/GT-2018-9-4-0385","ISSN":"2078-502X","issue":"4","language":"en","license":"Авторы, публикующие статьи в данном сетевом издании, соглашаются на следующее:  1. Авторы сохраняют за собой авторские права и предоставляют сетевому изданию право первой публикации работы, которая по истечении 6 месяцев после публикации автоматически лицензируется на условиях  Creative Commons Attribution License  , что позволяет другим распространять данную работу с обязательным сохранением ссылок на авторов оригинальной работы и оригинальную публикацию в этом издании.  2. Авторы имеют право размещать свою работу в сети Интернет на ресурсах, не относящихся к другим издательствам (например, на персональном сайте), в форме и содержании, принятыми издателем для опубликования в сетевом издании, так как это может привести к продуктивному обсуждению и большему количеству ссылок на данную работу (См.  The Effect of Open Access ).","note":"number: 4","page":"1099-1126","source":"www.gt-crust.ru","title":"Geodynamics, active faults and earthquake source mechanisms in the zone of pseudosubduction interaction of continental microplates in the South and North Caucasus (southern slope of the Greater Caucasus, Azerbaijan)","volume":"9","author":[{"family":"Kangarli","given":"T. N."},{"family":"Kadirov","given":"F. A."},{"family":"Etirmishli","given":"G. D."},{"family":"Aliev","given":"F. A."},{"family":"Kazimova","given":"S. E."},{"family":"Aliev","given":"A. M."},{"family":"Safarov","given":"R. T."},{"family":"Vakhabov","given":"U. G."}],"issued":{"date-parts":[["2018",12,7]]}}},{"id":3099,"uris":["http://zotero.org/users/1958668/items/GPRIHHYB"],"itemData":{"id":3099,"type":"article-journal","abstract":"Examination of more than 100 fault plane solutions for earthquakes within the Alpide belt between the Mid-Atlantic ridge and Eastern Iran shows that the deformation at present occurring is the result of small continental plates moving away from Eastern Turkey and Western Iran. This pattern of movement avoids thickening the continental crust over much of Turkey by consuming the Eastern Mediterranean sea floor instead. The rates of relative motion of two of the small plates involved, the Aegean and the Turkish plates, are estimated, but are only within perhaps 50 per cent of the true values. These estimates are then used to reconstruct the geometry of the Mediterranean 10 million years ago. The principal difference from the present geometry is the smooth curved coast which then formed the southern coast of Yugoslavia, Greece and Turkey. This coast has since been distorted by the motion of the two small plates. Similar complications have probably been common in older mountain belts, and therefore local geological features may not have been formed by the motion between major plates.","container-title":"Geophysical Journal International","DOI":"10.1111/j.1365-246X.1972.tb02351.x","ISSN":"0956-540X, 1365-246X","issue":"2","journalAbbreviation":"Geophysical Journal International","language":"en","page":"109-185","source":"DOI.org (Crossref)","title":"Active Tectonics of the Mediterranean Region","volume":"30","author":[{"family":"McKenzie","given":"D."}],"issued":{"date-parts":[["1972",12,1]]}}},{"id":854,"uris":["http://zotero.org/users/1958668/items/P8U7EARN"],"itemData":{"id":854,"type":"article-journal","abstract":"The Greater Caucasus Mountains contain the highest peaks in Europe and define, for over 850km along strike, the leading edge of the second-largest active collisional orogen on Earth. However, the mechanisms by which this range is being constructed remain disputed. Using a new database of earthquake records from local networks in Georgia, Russia, and Azerbaijan, together with previously published hypocenter locations, we show that the central and eastern Greater Caucasus Mountains are underlain by a northeast-dipping zone of mantle seismicity that we interpret as a subducted slab. Beneath the central Greater Caucasus (east of 45°E), the zone of seismicity extends to a depth of at least 158km with a dip of </w:instrText>
      </w:r>
      <w:r w:rsidRPr="00853CD5">
        <w:rPr>
          <w:rFonts w:ascii="Cambria Math" w:hAnsi="Cambria Math" w:cs="Cambria Math"/>
          <w:sz w:val="24"/>
          <w:szCs w:val="24"/>
        </w:rPr>
        <w:instrText>∼</w:instrText>
      </w:r>
      <w:r w:rsidRPr="00853CD5">
        <w:rPr>
          <w:sz w:val="24"/>
          <w:szCs w:val="24"/>
        </w:rPr>
        <w:instrText xml:space="preserve">40°NE and a slab length of </w:instrText>
      </w:r>
      <w:r w:rsidRPr="00853CD5">
        <w:rPr>
          <w:rFonts w:ascii="Cambria Math" w:hAnsi="Cambria Math" w:cs="Cambria Math"/>
          <w:sz w:val="24"/>
          <w:szCs w:val="24"/>
        </w:rPr>
        <w:instrText>∼</w:instrText>
      </w:r>
      <w:r w:rsidRPr="00853CD5">
        <w:rPr>
          <w:sz w:val="24"/>
          <w:szCs w:val="24"/>
        </w:rPr>
        <w:instrText xml:space="preserve">130–280km. In contrast, beneath the western GC (west of 45°E) there is a pronounced lack of events below </w:instrText>
      </w:r>
      <w:r w:rsidRPr="00853CD5">
        <w:rPr>
          <w:rFonts w:ascii="Cambria Math" w:hAnsi="Cambria Math" w:cs="Cambria Math"/>
          <w:sz w:val="24"/>
          <w:szCs w:val="24"/>
        </w:rPr>
        <w:instrText>∼</w:instrText>
      </w:r>
      <w:r w:rsidRPr="00853CD5">
        <w:rPr>
          <w:sz w:val="24"/>
          <w:szCs w:val="24"/>
        </w:rPr>
        <w:instrText xml:space="preserve">50km, which we infer to reflect slab breakoff and detachment. We also observe a gap in intermediate-depth seismicity (45–75km) at the western end of the subducted slab beneath the central Greater Caucasus, which we interpret as an eastward-propagating tear. This tear coincides with a region of minimum horizontal convergence rates between the Lesser and Greater Caucasus, as expected in a region of active slab breakoff. Active subduction beneath the eastern Greater Caucasus presents a potentially larger seismic hazard than previously recognized and may explain historical records of large magnitude (M 8) seismicity in this region.","container-title":"GeoResJ","DOI":"10.1016/j.grj.2014.09.004","ISSN":"2214-2428","journalAbbreviation":"GeoResJ","language":"en","page":"36-46","source":"ScienceDirect","title":"Subducted, detached, and torn slabs beneath the Greater Caucasus","volume":"5","author":[{"family":"Mumladze","given":"Tea"},{"family":"Forte","given":"Adam M."},{"family":"Cowgill","given":"Eric S."},{"family":"Trexler","given":"Charles C."},{"family":"Niemi","given":"Nathan A."},{"family":"Burak Yıkılmaz","given":"M."},{"family":"Kellogg","given":"Louise H."}],"issued":{"date-parts":[["2015",3,1]]}}},{"id":864,"uris":["http://zotero.org/users/1958668/items/2T7M2J7Z"],"itemData":{"id":864,"type":"article-journal","abstract":"Philip, H., Cisternas, A., Gvishiani, A. and Gorshkov, A., 1989. The Caucasus: an actual example of the initial stages of continental collision. ~ecto~ophysics, 161: l-21.","container-title":"Tectonophysics","DOI":"10.1016/0040-1951(89)90297-7","ISSN":"00401951","issue":"1-2","journalAbbreviation":"Tectonophysics","language":"en","page":"1-21","source":"DOI.org (Crossref)","title":"The Caucasus: an actual example of the initial stages of continental collision","title-short":"The Caucasus","volume":"161","author":[{"family":"Philip","given":"H."},{"family":"Cisternas","given":"A."},{"family":"Gvishiani","given":"A."},{"family":"Gorshkov","given":"A."}],"issued":{"date-parts":[["1989",4]]}}}],"schema":"https://github.com/citation-style-language/schema/raw/master/csl-citation.json"} </w:instrText>
      </w:r>
      <w:r w:rsidRPr="00853CD5">
        <w:rPr>
          <w:sz w:val="24"/>
          <w:szCs w:val="24"/>
        </w:rPr>
        <w:fldChar w:fldCharType="separate"/>
      </w:r>
      <w:r w:rsidRPr="00853CD5">
        <w:rPr>
          <w:sz w:val="24"/>
          <w:szCs w:val="24"/>
        </w:rPr>
        <w:t xml:space="preserve">(Avdeev and Niemi, 2011; Cowgill et al., 2016; Forte et al., 2015; Gunnels et al., 2021; Jackson et al., 2002; </w:t>
      </w:r>
      <w:proofErr w:type="spellStart"/>
      <w:r w:rsidRPr="00853CD5">
        <w:rPr>
          <w:sz w:val="24"/>
          <w:szCs w:val="24"/>
        </w:rPr>
        <w:t>Kangarli</w:t>
      </w:r>
      <w:proofErr w:type="spellEnd"/>
      <w:r w:rsidRPr="00853CD5">
        <w:rPr>
          <w:sz w:val="24"/>
          <w:szCs w:val="24"/>
        </w:rPr>
        <w:t xml:space="preserve"> et al., 2018; McKenzie, 1972; </w:t>
      </w:r>
      <w:proofErr w:type="spellStart"/>
      <w:r w:rsidRPr="00853CD5">
        <w:rPr>
          <w:sz w:val="24"/>
          <w:szCs w:val="24"/>
        </w:rPr>
        <w:t>Mumladze</w:t>
      </w:r>
      <w:proofErr w:type="spellEnd"/>
      <w:r w:rsidRPr="00853CD5">
        <w:rPr>
          <w:sz w:val="24"/>
          <w:szCs w:val="24"/>
        </w:rPr>
        <w:t xml:space="preserve"> et al., 2015; Philip et al., 1989)</w:t>
      </w:r>
      <w:r w:rsidRPr="00853CD5">
        <w:rPr>
          <w:sz w:val="24"/>
          <w:szCs w:val="24"/>
        </w:rPr>
        <w:fldChar w:fldCharType="end"/>
      </w:r>
      <w:r w:rsidRPr="00853CD5">
        <w:rPr>
          <w:sz w:val="24"/>
          <w:szCs w:val="24"/>
        </w:rPr>
        <w:t>. This subduction has been largely accommodated by the north-dipping Main Caucasus Thrust Fault, and since ~1.5 Ma via the foreland Kura fold-thrust belt, at an average rate of 6.7-13.6 mm/</w:t>
      </w:r>
      <w:proofErr w:type="spellStart"/>
      <w:r w:rsidRPr="00853CD5">
        <w:rPr>
          <w:sz w:val="24"/>
          <w:szCs w:val="24"/>
        </w:rPr>
        <w:t>yr</w:t>
      </w:r>
      <w:proofErr w:type="spellEnd"/>
      <w:r w:rsidRPr="00853CD5">
        <w:rPr>
          <w:sz w:val="24"/>
          <w:szCs w:val="24"/>
        </w:rPr>
        <w:t xml:space="preserve">, measured from restored balanced cross sections </w:t>
      </w:r>
      <w:r w:rsidRPr="00853CD5">
        <w:rPr>
          <w:sz w:val="24"/>
          <w:szCs w:val="24"/>
        </w:rPr>
        <w:fldChar w:fldCharType="begin"/>
      </w:r>
      <w:r w:rsidRPr="00853CD5">
        <w:rPr>
          <w:sz w:val="24"/>
          <w:szCs w:val="24"/>
        </w:rPr>
        <w:instrText xml:space="preserve"> ADDIN ZOTERO_ITEM CSL_CITATION {"citationID":"U9pwZh58","properties":{"formattedCitation":"(Forte et al., 2013; Kangarli et al., 2018; Mosar et al., 2010)","plainCitation":"(Forte et al., 2013; Kangarli et al., 2018; Mosar et al., 2010)","noteIndex":0},"citationItems":[{"id":855,"uris":["http://zotero.org/users/1958668/items/TSBZ9Q43"],"itemData":{"id":855,"type":"article-journal","abstract":"AbstractThe Greater Caucasus are the northernmost extent of the Arabia-Eurasia collision and are thought to represent the main locus of shortening within the central portion of the collision zone between 40° and 48°E. Recent work suggests that in detail, since the Plio-Pleistocene, much of the shortening in the eastern portion of the Caucasus system has been focused within the Kura fold-thrust belt along the southeastern margin of the Greater Caucasus. Here we present new field mapping and stratigraphic investigations of the eastern termination of the Kura fold-thrust belt in Azerbaijan to better constrain the structural geometries, magnitude of shortening, and initiation age for this portion of the fold-thrust belt. Our work suggests that this area of the fold-thrust belt exhibits significant along-strike variations in structural style and evolution and can effectively be divided into two distinct domains at 48°E. The western domain is characterized by a subcritical median surface slope and isolated folds and thrusts propagating out of sequence, whereas the eastern domain is dominated by a single duplex structure and a history of in-sequence development in a critically tapered wedge. We hypothesize that these variations result from changes in relative rates of syn-tectonic sedimentation, erosion, and convergence velocity along strike. We find that within the western domain, the fold-thrust belt has accommodated 12 km of total shortening. An unconformity within the western domain brackets the initiation age of this portion of the fold-thrust belt to between 1.8 and 0.88 Ma yielding permissible average shortening rates of between 6.7 and 13.6 mm/yr. Comparison of these average shortening rates to the geodetically measured shortening rate of 8 mm/yr indicates that since initiation, the fold-thrust belt has accommodated 83–100% of convergence between the Greater and Lesser Caucasus at this longitude.","container-title":"Tectonics","DOI":"10.1002/tect.20032","ISSN":"1944-9194","issue":"3","language":"en","license":"©2013. American Geophysical Union. All Rights Reserved.","page":"688-717","source":"Wiley Online Library","title":"Structural geometries and magnitude of shortening in the eastern Kura fold-thrust belt, Azerbaijan: Implications for the development of the Greater Caucasus Mountains","title-short":"Structural geometries and magnitude of shortening in the eastern Kura fold-thrust belt, Azerbaijan","volume":"32","author":[{"family":"Forte","given":"Adam M."},{"family":"Cowgill","given":"Eric"},{"family":"Murtuzayev","given":"Ibrahim"},{"family":"Kangarli","given":"Talat"},{"family":"Stoica","given":"Marius"}],"issued":{"date-parts":[["2013"]]}}},{"id":3193,"uris":["http://zotero.org/users/1958668/items/SP4XWYVP"],"itemData":{"id":3193,"type":"article-journal","abstract":"Сетевое издание «Геодинамика и тектонофизика»","container-title":"Geodynamics and tectonophysics","DOI":"https://doi.org/10.5800/GT-2018-9-4-0385","ISSN":"2078-502X","issue":"4","language":"en","license":"Авторы, публикующие статьи в данном сетевом издании, соглашаются на следующее:  1. Авторы сохраняют за собой авторские права и предоставляют сетевому изданию право первой публикации работы, которая по истечении 6 месяцев после публикации автоматически лицензируется на условиях  Creative Commons Attribution License  , что позволяет другим распространять данную работу с обязательным сохранением ссылок на авторов оригинальной работы и оригинальную публикацию в этом издании.  2. Авторы имеют право размещать свою работу в сети Интернет на ресурсах, не относящихся к другим издательствам (например, на персональном сайте), в форме и содержании, принятыми издателем для опубликования в сетевом издании, так как это может привести к продуктивному обсуждению и большему количеству ссылок на данную работу (См.  The Effect of Open Access ).","note":"number: 4","page":"1099-1126","source":"www.gt-crust.ru","title":"Geodynamics, active faults and earthquake source mechanisms in the zone of pseudosubduction interaction of continental microplates in the South and North Caucasus (southern slope of the Greater Caucasus, Azerbaijan)","volume":"9","author":[{"family":"Kangarli","given":"T. N."},{"family":"Kadirov","given":"F. A."},{"family":"Etirmishli","given":"G. D."},{"family":"Aliev","given":"F. A."},{"family":"Kazimova","given":"S. E."},{"family":"Aliev","given":"A. M."},{"family":"Safarov","given":"R. T."},{"family":"Vakhabov","given":"U. G."}],"issued":{"date-parts":[["2018",12,7]]}}},{"id":879,"uris":["http://zotero.org/users/1958668/items/29U6SQJL"],"itemData":{"id":879,"type":"article-journal","abstract":"The Greater Caucasus is Europe’s highest mountain belt and results from the inversion of the Greater Caucasus back-arc-type basin due to the collision of Arabia and Eurasia. The orogenic processes that led to the present mountain chain started in the Early Cenozoic, accelerated during the Plio-Pleistocene, and are still active as shown from present GPS studies and earthquake distribution. The Greater Caucasus is a doubly verging fold-and-thrust belt, with a pro- and a retro wedge actively propagating into the foreland sedimentary basin of the Kura to the south and the Terek to the north, respectively. Based on tectonic geomorphology – active and abandoned thrust fronts – the mountain range can be subdivided into several zones with different uplift amounts and rates with very heterogeneous strain partitioning. The central part of the mountain range – deﬁned by the Main Caucasus Thrust to the south and backthrusts to the north – forms a triangular-shape zone showing the highest uplift and fastest rates, and is due to thrusting over a steep tectonic ramp system at depth. The meridional orogenic in front of the Greater Caucasus in Azerbaijan lies at the foothills of the Lesser Caucasus, to the south of the Kura foreland basin.","container-title":"Geological Society, London, Special Publications","DOI":"10.1144/SP340.12","ISSN":"0305-8719, 2041-4927","issue":"1","journalAbbreviation":"Geological Society, London, Special Publications","language":"en","page":"261-280","source":"DOI.org (Crossref)","title":"Cenozoic-Recent tectonics and uplift in the Greater Caucasus: a perspective from Azerbaijan","title-short":"Cenozoic-Recent tectonics and uplift in the Greater Caucasus","volume":"340","author":[{"family":"Mosar","given":"Jon"},{"family":"Kangarli","given":"Talat"},{"family":"Bochud","given":"Martin"},{"family":"Glasmacher","given":"Ulrich A."},{"family":"Rast","given":"Annick"},{"family":"Brunet","given":"Marie-Francoise"},{"family":"Sosson","given":"Marc"}],"issued":{"date-parts":[["2010"]]}}}],"schema":"https://github.com/citation-style-language/schema/raw/master/csl-citation.json"} </w:instrText>
      </w:r>
      <w:r w:rsidRPr="00853CD5">
        <w:rPr>
          <w:sz w:val="24"/>
          <w:szCs w:val="24"/>
        </w:rPr>
        <w:fldChar w:fldCharType="separate"/>
      </w:r>
      <w:r w:rsidRPr="00853CD5">
        <w:rPr>
          <w:sz w:val="24"/>
          <w:szCs w:val="24"/>
        </w:rPr>
        <w:t xml:space="preserve">(Forte et al., 2013; </w:t>
      </w:r>
      <w:proofErr w:type="spellStart"/>
      <w:r w:rsidRPr="00853CD5">
        <w:rPr>
          <w:sz w:val="24"/>
          <w:szCs w:val="24"/>
        </w:rPr>
        <w:t>Kangarli</w:t>
      </w:r>
      <w:proofErr w:type="spellEnd"/>
      <w:r w:rsidRPr="00853CD5">
        <w:rPr>
          <w:sz w:val="24"/>
          <w:szCs w:val="24"/>
        </w:rPr>
        <w:t xml:space="preserve"> et al., 2018; </w:t>
      </w:r>
      <w:proofErr w:type="spellStart"/>
      <w:r w:rsidRPr="00853CD5">
        <w:rPr>
          <w:sz w:val="24"/>
          <w:szCs w:val="24"/>
        </w:rPr>
        <w:t>Mosar</w:t>
      </w:r>
      <w:proofErr w:type="spellEnd"/>
      <w:r w:rsidRPr="00853CD5">
        <w:rPr>
          <w:sz w:val="24"/>
          <w:szCs w:val="24"/>
        </w:rPr>
        <w:t xml:space="preserve"> et al., 2010)</w:t>
      </w:r>
      <w:r w:rsidRPr="00853CD5">
        <w:rPr>
          <w:sz w:val="24"/>
          <w:szCs w:val="24"/>
        </w:rPr>
        <w:fldChar w:fldCharType="end"/>
      </w:r>
      <w:r w:rsidRPr="00853CD5">
        <w:rPr>
          <w:sz w:val="24"/>
          <w:szCs w:val="24"/>
        </w:rPr>
        <w:t>, or ~10 mm/</w:t>
      </w:r>
      <w:proofErr w:type="spellStart"/>
      <w:r w:rsidRPr="00853CD5">
        <w:rPr>
          <w:sz w:val="24"/>
          <w:szCs w:val="24"/>
        </w:rPr>
        <w:t>yr</w:t>
      </w:r>
      <w:proofErr w:type="spellEnd"/>
      <w:r w:rsidRPr="00853CD5">
        <w:rPr>
          <w:sz w:val="24"/>
          <w:szCs w:val="24"/>
        </w:rPr>
        <w:t xml:space="preserve"> measured by GPS across the Kura basin </w:t>
      </w:r>
      <w:r w:rsidRPr="00853CD5">
        <w:rPr>
          <w:sz w:val="24"/>
          <w:szCs w:val="24"/>
        </w:rPr>
        <w:fldChar w:fldCharType="begin"/>
      </w:r>
      <w:r w:rsidRPr="00853CD5">
        <w:rPr>
          <w:sz w:val="24"/>
          <w:szCs w:val="24"/>
        </w:rPr>
        <w:instrText xml:space="preserve"> ADDIN ZOTERO_ITEM CSL_CITATION {"citationID":"mitliC57","properties":{"formattedCitation":"(Kadirov et al., 2012; Reilinger et al., 2006; Yetirmishli et al., 2022)","plainCitation":"(Kadirov et al., 2012; Reilinger et al., 2006; Yetirmishli et al., 2022)","noteIndex":0},"citationItems":[{"id":883,"uris":["http://zotero.org/users/1958668/items/NY3TMKAC"],"itemData":{"id":883,"type":"article-journal","abstract":"The potential for large, shallow earthquakes and their associated seismic hazard in the eastern Caucasus, an area of dense population and sensitive industrial infrastructure, remains speculative based on historical precedent and current geologic and seismologic observations. Here we present updated and expanded results from a GPS network between the northern edge of the Lesser Caucasus and Greater Caucasus, providing geodetic constraints to the problem. A signiﬁcant strain rate is observed in a proﬁle over a distance of about 150 km across the Kura Basin. We attribute this to inter-seismic strain accumulation on buried fault structures and present simple elastic dislocation models for their plausible geometry and slip rate based on the known geology, seismicity and the GPS velocities. Due to the close proximity of the strain anomaly to Baku, further observations are needed to determine whether observed contraction is due to inter-seismically locked faults and, if so, implications for the seismic hazard in the region.","container-title":"Natural Hazards","DOI":"10.1007/s11069-012-0199-0","ISSN":"0921-030X, 1573-0840","issue":"2","journalAbbreviation":"Nat Hazards","language":"en","page":"997-1006","source":"DOI.org (Crossref)","title":"Kinematics of the eastern Caucasus near Baku, Azerbaijan","volume":"63","author":[{"family":"Kadirov","given":"Fakhraddin"},{"family":"Floyd","given":"Michael"},{"family":"Alizadeh","given":"Akif"},{"family":"Guliev","given":"Ibrahim"},{"family":"Reilinger","given":"Robert"},{"family":"Kuleli","given":"Sadi"},{"family":"King","given":"Robert"},{"family":"Nafi Toksoz","given":"M."}],"issued":{"date-parts":[["2012",9]]}}},{"id":863,"uris":["http://zotero.org/users/1958668/items/A3F4XCUA"],"itemData":{"id":863,"type":"article-journal","abstract":"The GPS-derived velocity field (1988–2005) for the zone of interaction of the Arabian, African (Nubian, Somalian), and Eurasian plates indicates counterclockwise rotation of a broad area of the Earth's surface including the Arabian plate, adjacent parts of the Zagros and central Iran, Turkey, and the Aegean/Peloponnesus relative to Eurasia at rates in the range of 20–30 mm/yr. This relatively rapid motion occurs within the framework of the slow-moving (</w:instrText>
      </w:r>
      <w:r w:rsidRPr="00853CD5">
        <w:rPr>
          <w:rFonts w:ascii="Cambria Math" w:hAnsi="Cambria Math" w:cs="Cambria Math"/>
          <w:sz w:val="24"/>
          <w:szCs w:val="24"/>
        </w:rPr>
        <w:instrText>∼</w:instrText>
      </w:r>
      <w:r w:rsidRPr="00853CD5">
        <w:rPr>
          <w:sz w:val="24"/>
          <w:szCs w:val="24"/>
        </w:rPr>
        <w:instrText xml:space="preserve">5 mm/yr relative motions) Eurasian, Nubian, and Somalian plates. The circulatory pattern of motion increases in rate toward the Hellenic trench system. We develop an elastic block model to constrain present-day plate motions (relative Euler vectors), regional deformation within the interplate zone, and slip rates for major faults. Substantial areas of continental lithosphere within the region of plate interaction show coherent motion with internal deformations below </w:instrText>
      </w:r>
      <w:r w:rsidRPr="00853CD5">
        <w:rPr>
          <w:rFonts w:ascii="Cambria Math" w:hAnsi="Cambria Math" w:cs="Cambria Math"/>
          <w:sz w:val="24"/>
          <w:szCs w:val="24"/>
        </w:rPr>
        <w:instrText>∼</w:instrText>
      </w:r>
      <w:r w:rsidRPr="00853CD5">
        <w:rPr>
          <w:sz w:val="24"/>
          <w:szCs w:val="24"/>
        </w:rPr>
        <w:instrText>1–2 mm/yr, including central and eastern Anatolia (Turkey), the southwestern Aegean/Peloponnesus, the Lesser Caucasus, and Central Iran. Geodetic slip rates for major block-bounding structures are mostly comparable to geologic rates estimated for the most recent geological period (</w:instrText>
      </w:r>
      <w:r w:rsidRPr="00853CD5">
        <w:rPr>
          <w:rFonts w:ascii="Cambria Math" w:hAnsi="Cambria Math" w:cs="Cambria Math"/>
          <w:sz w:val="24"/>
          <w:szCs w:val="24"/>
        </w:rPr>
        <w:instrText>∼</w:instrText>
      </w:r>
      <w:r w:rsidRPr="00853CD5">
        <w:rPr>
          <w:sz w:val="24"/>
          <w:szCs w:val="24"/>
        </w:rPr>
        <w:instrText xml:space="preserve">3–5 Myr). We find that the convergence of Arabia with Eurasia is accommodated in large part by lateral transport within the interior part of the collision zone and lithospheric shortening along the Caucasus and Zagros mountain belts around the periphery of the collision zone. In addition, we find that the principal boundary between the westerly moving Anatolian plate and Arabia (East Anatolian fault) is presently characterized by pure left-lateral strike slip with no fault-normal convergence. This implies that “extrusion” is not presently inducing westward motion of Anatolia. On the basis of the observed kinematics, we hypothesize that deformation in the Africa-Arabia-Eurasia collision zone is driven in large part by rollback of the subducting African lithosphere beneath the Hellenic and Cyprus trenches aided by slab pull on the southeastern side of the subducting Arabian plate along the Makran subduction zone. We further suggest that the separation of Arabia from Africa is a response to plate motions induced by active subduction.","container-title":"Journal of Geophysical Research: Solid Earth","DOI":"10.1029/2005JB004051","ISSN":"2156-2202","issue":"B5","language":"en","license":"Copyright 2006 by the American Geophysical Union.","source":"Wiley Online Library","title":"GPS constraints on continental deformation in the Africa-Arabia-Eurasia continental collision zone and implications for the dynamics of plate interactions","URL":"https://agupubs.onlinelibrary.wiley.com/doi/abs/10.1029/2005JB004051","volume":"111","author":[{"family":"Reilinger","given":"Robert"},{"family":"McClusky","given":"Simon"},{"family":"Vernant","given":"Philippe"},{"family":"Lawrence","given":"Shawn"},{"family":"Ergintav","given":"Semih"},{"family":"Cakmak","given":"Rahsan"},{"family":"Ozener","given":"Haluk"},{"family":"Kadirov","given":"Fakhraddin"},{"family":"Guliev","given":"Ibrahim"},{"family":"Stepanyan","given":"Ruben"},{"family":"Nadariya","given":"Merab"},{"family":"Hahubia","given":"Galaktion"},{"family":"Mahmoud","given":"Salah"},{"family":"Sakr","given":"K."},{"family":"ArRajehi","given":"Abdullah"},{"family":"Paradissis","given":"Demitris"},{"family":"Al‐Aydrus","given":"A."},{"family":"Prilepin","given":"Mikhail"},{"family":"Guseva","given":"Tamara"},{"family":"Evren","given":"Emre"},{"family":"Dmitrotsa","given":"Andriy"},{"family":"Filikov","given":"S. V."},{"family":"Gomez","given":"Francisco"},{"family":"Al‐Ghazzi","given":"Riad"},{"family":"Karam","given":"Gebran"}],"accessed":{"date-parts":[["2020",2,25]]},"issued":{"date-parts":[["2006"]]}}},{"id":3202,"uris":["http://zotero.org/users/1958668/items/NTP8XT8C"],"itemData":{"id":3202,"type":"article-journal","container-title":"Seismoprognosis Observations in the Territory of Azerbaijan","issue":"1","language":"en","page":"19-24","source":"Zotero","title":"Analysis of Modern Movements of Earth Crust Blocks in Azerbaijan According to the Data of GPS Stations in 2020-2021","volume":"21","author":[{"family":"Yetirmishli","given":"G J"},{"family":"Kazimov","given":"I. E."},{"family":"Kazimova","given":"A. F."}],"issued":{"date-parts":[["2022"]]}}}],"schema":"https://github.com/citation-style-language/schema/raw/master/csl-citation.json"} </w:instrText>
      </w:r>
      <w:r w:rsidRPr="00853CD5">
        <w:rPr>
          <w:sz w:val="24"/>
          <w:szCs w:val="24"/>
        </w:rPr>
        <w:fldChar w:fldCharType="separate"/>
      </w:r>
      <w:r w:rsidRPr="00853CD5">
        <w:rPr>
          <w:sz w:val="24"/>
          <w:szCs w:val="24"/>
        </w:rPr>
        <w:t>(</w:t>
      </w:r>
      <w:proofErr w:type="spellStart"/>
      <w:r w:rsidRPr="00853CD5">
        <w:rPr>
          <w:sz w:val="24"/>
          <w:szCs w:val="24"/>
        </w:rPr>
        <w:t>Kadirov</w:t>
      </w:r>
      <w:proofErr w:type="spellEnd"/>
      <w:r w:rsidRPr="00853CD5">
        <w:rPr>
          <w:sz w:val="24"/>
          <w:szCs w:val="24"/>
        </w:rPr>
        <w:t xml:space="preserve"> et al., 2012; </w:t>
      </w:r>
      <w:proofErr w:type="spellStart"/>
      <w:r w:rsidRPr="00853CD5">
        <w:rPr>
          <w:sz w:val="24"/>
          <w:szCs w:val="24"/>
        </w:rPr>
        <w:t>Reilinger</w:t>
      </w:r>
      <w:proofErr w:type="spellEnd"/>
      <w:r w:rsidRPr="00853CD5">
        <w:rPr>
          <w:sz w:val="24"/>
          <w:szCs w:val="24"/>
        </w:rPr>
        <w:t xml:space="preserve"> et al., 2006; </w:t>
      </w:r>
      <w:proofErr w:type="spellStart"/>
      <w:r w:rsidRPr="00853CD5">
        <w:rPr>
          <w:sz w:val="24"/>
          <w:szCs w:val="24"/>
        </w:rPr>
        <w:t>Yetirmishli</w:t>
      </w:r>
      <w:proofErr w:type="spellEnd"/>
      <w:r w:rsidRPr="00853CD5">
        <w:rPr>
          <w:sz w:val="24"/>
          <w:szCs w:val="24"/>
        </w:rPr>
        <w:t xml:space="preserve"> et al., 2022)</w:t>
      </w:r>
      <w:r w:rsidRPr="00853CD5">
        <w:rPr>
          <w:sz w:val="24"/>
          <w:szCs w:val="24"/>
        </w:rPr>
        <w:fldChar w:fldCharType="end"/>
      </w:r>
      <w:r w:rsidRPr="00853CD5">
        <w:rPr>
          <w:sz w:val="24"/>
          <w:szCs w:val="24"/>
        </w:rPr>
        <w:t xml:space="preserve">. </w:t>
      </w:r>
    </w:p>
    <w:p w14:paraId="29D2FF19" w14:textId="77777777" w:rsidR="00E65594" w:rsidRPr="00853CD5" w:rsidRDefault="00E65594" w:rsidP="00E65594">
      <w:pPr>
        <w:ind w:firstLine="720"/>
        <w:jc w:val="both"/>
        <w:rPr>
          <w:sz w:val="24"/>
          <w:szCs w:val="24"/>
        </w:rPr>
      </w:pPr>
      <w:r w:rsidRPr="00853CD5">
        <w:rPr>
          <w:sz w:val="24"/>
          <w:szCs w:val="24"/>
        </w:rPr>
        <w:t>The Kura fold-thrust belt extends roughly west-east for ~275 km from near Tbilisi, Georgia to near Shamakhi, Azerbaijan (</w:t>
      </w:r>
      <w:r w:rsidRPr="00853CD5">
        <w:rPr>
          <w:b/>
          <w:sz w:val="24"/>
          <w:szCs w:val="24"/>
        </w:rPr>
        <w:t>Figure 1</w:t>
      </w:r>
      <w:r w:rsidRPr="00853CD5">
        <w:rPr>
          <w:sz w:val="24"/>
          <w:szCs w:val="24"/>
        </w:rPr>
        <w:t xml:space="preserve">). The belt forms an imbricate pattern that varies along strike with between one and four thrust sheets reaching the surface. Historical destructive earthquakes in the region are well known from AD 1139, 1668, and 1828-1902 </w:t>
      </w:r>
      <w:r w:rsidRPr="00853CD5">
        <w:rPr>
          <w:sz w:val="24"/>
          <w:szCs w:val="24"/>
        </w:rPr>
        <w:fldChar w:fldCharType="begin"/>
      </w:r>
      <w:r w:rsidRPr="00853CD5">
        <w:rPr>
          <w:sz w:val="24"/>
          <w:szCs w:val="24"/>
        </w:rPr>
        <w:instrText xml:space="preserve"> ADDIN ZOTERO_ITEM CSL_CITATION {"citationID":"Wj0aPj3L","properties":{"formattedCitation":"(Ismail-Zadeh et al., 2020)","plainCitation":"(Ismail-Zadeh et al., 2020)","noteIndex":0},"citationItems":[{"id":2999,"uris":["http://zotero.org/users/1958668/items/ICI6NZ2T"],"itemData":{"id":2999,"type":"article-journal","abstract":"Being a part of ongoing continental collision between the Arabian and Eurasian plates, the Caucasus region is a remarkable site of moderate to strong seismicity, where devastating earthquakes caused significant losses of lives and livelihood. In this article, we survey geology and geodynamics of the Caucasus and its surroundings; magmatism and heat flow; active tectonics and tectonic stresses caused by the collision and shortening; gravity and density models; and overview recent geodetic studies related to regional movements. The tectonic development of the Caucasus region in the Mesozoic-Cenozoic times as well as the underlying dynamics controlling its development are complicated processes. It is clear that the collision is responsible for a topographic uplift / inversion and for the formation of the fold-and-thrust belts of the Greater and Lesser Caucasus. Tectonic deformations in the region is influenced by the wedge-shaped rigid Arabian block indenting into the relatively mobile region and producing near N-S compressional stress and seismicity in the Caucasus. Regional seismicity is analysed with an attention to sub-crustal seismicity under the northern foothills of the Greater Caucasus, which origin is unclear – whether the seismicity associated with a descending oceanic crust or thinned continental crust. Recent seismic tomography studies are in favour of the detachment of a lithospheric root beneath the Lesser and Greater Caucasus. The knowledge of geodynamics, seismicity, and stress regime in the Caucasus region assists in an assessment of seismic hazard and risk. We look finally at existing gaps in the current knowledge and identify the problems, which may improve our understanding of the regional evolution, active tectonics, geodynamics, shallow and deeper seismicity, and surface manifestations of the lithosphere dynamics. Among the gaps are those related to uncertainties in regional geodynamic and tectonic evolution (e.g., continental collision and associated shortening and exhumation, lithosphere structure, deformation and strain-stress partitioning) and to the lack of comprehensive datasets (e.g., regional seismic catalogues, seismic, gravity and geodetic surveys).","container-title":"Earth-Science Reviews","DOI":"10.1016/j.earscirev.2020.103222","ISSN":"0012-8252","journalAbbreviation":"Earth-Science Reviews","language":"en","page":"103222","source":"ScienceDirect","title":"Geodynamics, seismicity, and seismic hazards of the Caucasus","volume":"207","author":[{"family":"Ismail-Zadeh","given":"Alik"},{"family":"Adamia","given":"Shota"},{"family":"Chabukiani","given":"Aleksandre"},{"family":"Chelidze","given":"Tamaz"},{"family":"Cloetingh","given":"Sierd"},{"family":"Floyd","given":"Michael"},{"family":"Gorshkov","given":"Alexander"},{"family":"Gvishiani","given":"Alexei"},{"family":"Ismail-Zadeh","given":"Tahir"},{"family":"Kaban","given":"Mikhail K."},{"family":"Kadirov","given":"Fakhraddin"},{"family":"Karapetyan","given":"Jon"},{"family":"Kangarli","given":"Talat"},{"family":"Kiria","given":"Jemal"},{"family":"Koulakov","given":"Ivan"},{"family":"Mosar","given":"Jon"},{"family":"Mumladze","given":"Tea"},{"family":"Müller","given":"Birgit"},{"family":"Sadradze","given":"Nino"},{"family":"Safarov","given":"Rafig"},{"family":"Schilling","given":"Frank"},{"family":"Soloviev","given":"Alexander"}],"issued":{"date-parts":[["2020",8,1]]}}}],"schema":"https://github.com/citation-style-language/schema/raw/master/csl-citation.json"} </w:instrText>
      </w:r>
      <w:r w:rsidRPr="00853CD5">
        <w:rPr>
          <w:sz w:val="24"/>
          <w:szCs w:val="24"/>
        </w:rPr>
        <w:fldChar w:fldCharType="separate"/>
      </w:r>
      <w:r w:rsidRPr="00853CD5">
        <w:rPr>
          <w:sz w:val="24"/>
          <w:szCs w:val="24"/>
        </w:rPr>
        <w:t>(Ismail-Zadeh et al., 2020)</w:t>
      </w:r>
      <w:r w:rsidRPr="00853CD5">
        <w:rPr>
          <w:sz w:val="24"/>
          <w:szCs w:val="24"/>
        </w:rPr>
        <w:fldChar w:fldCharType="end"/>
      </w:r>
      <w:r w:rsidRPr="00853CD5">
        <w:rPr>
          <w:sz w:val="24"/>
          <w:szCs w:val="24"/>
        </w:rPr>
        <w:t>.  The 1668 and 1828-1902 events all occurred near Shamakhi (</w:t>
      </w:r>
      <w:r w:rsidRPr="00853CD5">
        <w:rPr>
          <w:b/>
          <w:sz w:val="24"/>
          <w:szCs w:val="24"/>
        </w:rPr>
        <w:t>Figure 1</w:t>
      </w:r>
      <w:r w:rsidRPr="00853CD5">
        <w:rPr>
          <w:sz w:val="24"/>
          <w:szCs w:val="24"/>
        </w:rPr>
        <w:t xml:space="preserve">), in the easternmost part of the Kura fold-thrust belt. Despite the seismic history of the region, we are aware of no prior </w:t>
      </w:r>
      <w:proofErr w:type="spellStart"/>
      <w:r w:rsidRPr="00853CD5">
        <w:rPr>
          <w:sz w:val="24"/>
          <w:szCs w:val="24"/>
        </w:rPr>
        <w:t>neotectonic</w:t>
      </w:r>
      <w:proofErr w:type="spellEnd"/>
      <w:r w:rsidRPr="00853CD5">
        <w:rPr>
          <w:sz w:val="24"/>
          <w:szCs w:val="24"/>
        </w:rPr>
        <w:t xml:space="preserve"> or paleoseismic studies that have been conducted on the faults within the Kura fold-thrust belt, nor anywhere within Azerbaijan, so the source faults of these historical earthquakes remain unknown. Jackson and Ambraseys (1997) demonstrate that historical seismicity over the past 400 years accounts for only 25% of shortening in the Caucasus. This leads to great uncertainty in the seismogenic potential of the faults in this region as it is unclear whether the lack of historical seismicity to the west of </w:t>
      </w:r>
      <w:proofErr w:type="spellStart"/>
      <w:r w:rsidRPr="00853CD5">
        <w:rPr>
          <w:sz w:val="24"/>
          <w:szCs w:val="24"/>
        </w:rPr>
        <w:t>Shamaki</w:t>
      </w:r>
      <w:proofErr w:type="spellEnd"/>
      <w:r w:rsidRPr="00853CD5">
        <w:rPr>
          <w:sz w:val="24"/>
          <w:szCs w:val="24"/>
        </w:rPr>
        <w:t xml:space="preserve"> is a result of either (a) a lapse of historical record keeping, (b) aseismic deformation (e.g. fault creep), or (c) unreleased moment that is accumulating in the Kura fold-thrust system.</w:t>
      </w:r>
    </w:p>
    <w:p w14:paraId="1E911F27" w14:textId="5B07F0C4" w:rsidR="00E65594" w:rsidRPr="00853CD5" w:rsidRDefault="00E65594" w:rsidP="00E65594">
      <w:pPr>
        <w:ind w:firstLine="720"/>
        <w:jc w:val="both"/>
        <w:rPr>
          <w:sz w:val="24"/>
          <w:szCs w:val="24"/>
        </w:rPr>
      </w:pPr>
      <w:r w:rsidRPr="00853CD5">
        <w:rPr>
          <w:sz w:val="24"/>
          <w:szCs w:val="24"/>
        </w:rPr>
        <w:t xml:space="preserve"> Thus, investigating the paleoseismic history of the faults in the Kura fold-thrust belt is critical for understanding the seismic potential and behavior of the faults in this region. In this paper we present the results of the first paleoseismic trench investigation and a slip rate estimate from the Kura fold-thrust belt in Azerbaijan. We then provide a brief discussion on the significance of these results and place them in the context of the historical catalog. </w:t>
      </w:r>
    </w:p>
    <w:p w14:paraId="5AAC8836" w14:textId="74717AB9" w:rsidR="00853CD5" w:rsidRPr="00853CD5" w:rsidRDefault="00853CD5" w:rsidP="00E65594">
      <w:pPr>
        <w:ind w:firstLine="720"/>
        <w:jc w:val="both"/>
        <w:rPr>
          <w:sz w:val="24"/>
          <w:szCs w:val="24"/>
        </w:rPr>
      </w:pPr>
    </w:p>
    <w:p w14:paraId="407DF010" w14:textId="100BD789" w:rsidR="00853CD5" w:rsidRPr="00853CD5" w:rsidRDefault="00853CD5" w:rsidP="00853CD5">
      <w:pPr>
        <w:jc w:val="both"/>
        <w:rPr>
          <w:sz w:val="24"/>
          <w:szCs w:val="24"/>
        </w:rPr>
      </w:pPr>
      <w:r w:rsidRPr="00853CD5">
        <w:rPr>
          <w:b/>
          <w:sz w:val="24"/>
          <w:szCs w:val="24"/>
        </w:rPr>
        <w:t>Figure 1</w:t>
      </w:r>
      <w:r w:rsidRPr="00853CD5">
        <w:rPr>
          <w:sz w:val="24"/>
          <w:szCs w:val="24"/>
        </w:rPr>
        <w:t>.</w:t>
      </w:r>
      <w:r w:rsidR="007362A5">
        <w:rPr>
          <w:sz w:val="24"/>
          <w:szCs w:val="24"/>
        </w:rPr>
        <w:t xml:space="preserve"> (Following page)</w:t>
      </w:r>
      <w:r w:rsidRPr="00853CD5">
        <w:rPr>
          <w:sz w:val="24"/>
          <w:szCs w:val="24"/>
        </w:rPr>
        <w:t xml:space="preserve"> Overview map of (A) Azerbaijan showing GPS velocities relative to stable Eurasia (</w:t>
      </w:r>
      <w:proofErr w:type="spellStart"/>
      <w:r w:rsidRPr="00853CD5">
        <w:rPr>
          <w:sz w:val="24"/>
          <w:szCs w:val="24"/>
        </w:rPr>
        <w:t>Kadirov</w:t>
      </w:r>
      <w:proofErr w:type="spellEnd"/>
      <w:r w:rsidRPr="00853CD5">
        <w:rPr>
          <w:sz w:val="24"/>
          <w:szCs w:val="24"/>
        </w:rPr>
        <w:t xml:space="preserve">, 2012), and focal mechanisms of earthquakes from the </w:t>
      </w:r>
      <w:proofErr w:type="spellStart"/>
      <w:r w:rsidRPr="00853CD5">
        <w:rPr>
          <w:sz w:val="24"/>
          <w:szCs w:val="24"/>
        </w:rPr>
        <w:t>gCMT</w:t>
      </w:r>
      <w:proofErr w:type="spellEnd"/>
      <w:r w:rsidRPr="00853CD5">
        <w:rPr>
          <w:sz w:val="24"/>
          <w:szCs w:val="24"/>
        </w:rPr>
        <w:t xml:space="preserve"> and </w:t>
      </w:r>
      <w:proofErr w:type="spellStart"/>
      <w:r w:rsidRPr="00853CD5">
        <w:rPr>
          <w:sz w:val="24"/>
          <w:szCs w:val="24"/>
        </w:rPr>
        <w:t>gWFM</w:t>
      </w:r>
      <w:proofErr w:type="spellEnd"/>
      <w:r w:rsidRPr="00853CD5">
        <w:rPr>
          <w:sz w:val="24"/>
          <w:szCs w:val="24"/>
        </w:rPr>
        <w:t xml:space="preserve"> catalogues with ISC-EHB </w:t>
      </w:r>
      <w:proofErr w:type="spellStart"/>
      <w:r w:rsidRPr="00853CD5">
        <w:rPr>
          <w:sz w:val="24"/>
          <w:szCs w:val="24"/>
        </w:rPr>
        <w:t>hypocentres</w:t>
      </w:r>
      <w:proofErr w:type="spellEnd"/>
      <w:r w:rsidRPr="00853CD5">
        <w:rPr>
          <w:sz w:val="24"/>
          <w:szCs w:val="24"/>
        </w:rPr>
        <w:t xml:space="preserve"> from 1976-present. (B) is the eastern part of the Kura fold-thrust belt showing major faults (black lines, dashed where approximate) and figure locations. The Kura fold-thrust belt has accommodated &gt;80% of the shortening between the Lesser Caucasus and Greater Caucasus since ~1.5 Ma, at an average rate of ~7-14 mm/</w:t>
      </w:r>
      <w:proofErr w:type="spellStart"/>
      <w:r w:rsidRPr="00853CD5">
        <w:rPr>
          <w:sz w:val="24"/>
          <w:szCs w:val="24"/>
        </w:rPr>
        <w:t>yr</w:t>
      </w:r>
      <w:proofErr w:type="spellEnd"/>
      <w:r w:rsidRPr="00853CD5">
        <w:rPr>
          <w:sz w:val="24"/>
          <w:szCs w:val="24"/>
        </w:rPr>
        <w:t xml:space="preserve"> (Forte et al., 2013). Yellow lines are MMI scale </w:t>
      </w:r>
      <w:proofErr w:type="spellStart"/>
      <w:r w:rsidRPr="00853CD5">
        <w:rPr>
          <w:sz w:val="24"/>
          <w:szCs w:val="24"/>
        </w:rPr>
        <w:t>isoseismals</w:t>
      </w:r>
      <w:proofErr w:type="spellEnd"/>
      <w:r w:rsidRPr="00853CD5">
        <w:rPr>
          <w:sz w:val="24"/>
          <w:szCs w:val="24"/>
        </w:rPr>
        <w:t xml:space="preserve"> of the 1902 Shamakhi earthquake adapted from Weber (1902). Inset simplifies major regional tectonic faults and representative GPS velocity relative to stable Eurasia.</w:t>
      </w:r>
    </w:p>
    <w:p w14:paraId="5F616C3B" w14:textId="032BAF3A" w:rsidR="00853CD5" w:rsidRPr="00853CD5" w:rsidRDefault="00853CD5" w:rsidP="00E65594">
      <w:pPr>
        <w:ind w:firstLine="720"/>
        <w:jc w:val="both"/>
        <w:rPr>
          <w:sz w:val="24"/>
          <w:szCs w:val="24"/>
        </w:rPr>
      </w:pPr>
    </w:p>
    <w:p w14:paraId="3DEE04E3" w14:textId="212A456C" w:rsidR="00853CD5" w:rsidRPr="00853CD5" w:rsidRDefault="00853CD5" w:rsidP="007362A5">
      <w:pPr>
        <w:jc w:val="both"/>
        <w:rPr>
          <w:sz w:val="24"/>
          <w:szCs w:val="24"/>
        </w:rPr>
      </w:pPr>
      <w:r w:rsidRPr="00853CD5">
        <w:rPr>
          <w:noProof/>
          <w:sz w:val="24"/>
          <w:szCs w:val="24"/>
        </w:rPr>
        <w:lastRenderedPageBreak/>
        <w:drawing>
          <wp:inline distT="0" distB="0" distL="0" distR="0" wp14:anchorId="6DB5F1E9" wp14:editId="690E443A">
            <wp:extent cx="5943600" cy="8191500"/>
            <wp:effectExtent l="0" t="0" r="0" b="0"/>
            <wp:docPr id="8" name="Picture 8" descr="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Map&#10;&#10;Description automatically generated"/>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943600" cy="8191500"/>
                    </a:xfrm>
                    <a:prstGeom prst="rect">
                      <a:avLst/>
                    </a:prstGeom>
                    <a:noFill/>
                    <a:ln>
                      <a:noFill/>
                    </a:ln>
                  </pic:spPr>
                </pic:pic>
              </a:graphicData>
            </a:graphic>
          </wp:inline>
        </w:drawing>
      </w:r>
    </w:p>
    <w:p w14:paraId="4064D011" w14:textId="77777777" w:rsidR="00E65594" w:rsidRPr="00853CD5" w:rsidRDefault="00E65594" w:rsidP="00E65594">
      <w:pPr>
        <w:jc w:val="both"/>
        <w:rPr>
          <w:sz w:val="24"/>
          <w:szCs w:val="24"/>
        </w:rPr>
      </w:pPr>
    </w:p>
    <w:p w14:paraId="768EFF27" w14:textId="52FAC22E" w:rsidR="00E65594" w:rsidRPr="00853CD5" w:rsidRDefault="00E65594" w:rsidP="00E65594">
      <w:pPr>
        <w:pStyle w:val="Heading-AGU"/>
      </w:pPr>
      <w:r w:rsidRPr="00853CD5">
        <w:t xml:space="preserve">2 </w:t>
      </w:r>
      <w:r w:rsidRPr="00853CD5">
        <w:t>Methods</w:t>
      </w:r>
    </w:p>
    <w:p w14:paraId="66DF7958" w14:textId="77777777" w:rsidR="00E65594" w:rsidRPr="00853CD5" w:rsidRDefault="00E65594" w:rsidP="00E65594">
      <w:pPr>
        <w:pStyle w:val="Heading-Secondary"/>
      </w:pPr>
      <w:r w:rsidRPr="00853CD5">
        <w:t>2.1 Fault Mapping, Photogrammetry, and Paleoseismic Trenching</w:t>
      </w:r>
    </w:p>
    <w:p w14:paraId="263F20AD" w14:textId="77777777" w:rsidR="00E65594" w:rsidRPr="00853CD5" w:rsidRDefault="00E65594" w:rsidP="00E65594">
      <w:pPr>
        <w:ind w:firstLine="720"/>
        <w:jc w:val="both"/>
        <w:rPr>
          <w:sz w:val="24"/>
          <w:szCs w:val="24"/>
        </w:rPr>
      </w:pPr>
      <w:r w:rsidRPr="00853CD5">
        <w:rPr>
          <w:sz w:val="24"/>
          <w:szCs w:val="24"/>
        </w:rPr>
        <w:t xml:space="preserve">Faults were remotely mapped using Google Earth, prior to field reconnaissance mapping in the spring of 2022. Key study sites were then surveyed in high detail with photogrammetry using images captured with a </w:t>
      </w:r>
      <w:proofErr w:type="spellStart"/>
      <w:r w:rsidRPr="00853CD5">
        <w:rPr>
          <w:sz w:val="24"/>
          <w:szCs w:val="24"/>
        </w:rPr>
        <w:t>Teokit</w:t>
      </w:r>
      <w:proofErr w:type="spellEnd"/>
      <w:r w:rsidRPr="00853CD5">
        <w:rPr>
          <w:sz w:val="24"/>
          <w:szCs w:val="24"/>
        </w:rPr>
        <w:t xml:space="preserve">-equipped DJI Phantom 4 Pro v2 drone. The </w:t>
      </w:r>
      <w:proofErr w:type="spellStart"/>
      <w:r w:rsidRPr="00853CD5">
        <w:rPr>
          <w:sz w:val="24"/>
          <w:szCs w:val="24"/>
        </w:rPr>
        <w:t>Teokit</w:t>
      </w:r>
      <w:proofErr w:type="spellEnd"/>
      <w:r w:rsidRPr="00853CD5">
        <w:rPr>
          <w:sz w:val="24"/>
          <w:szCs w:val="24"/>
        </w:rPr>
        <w:t xml:space="preserve"> is a </w:t>
      </w:r>
      <w:proofErr w:type="spellStart"/>
      <w:r w:rsidRPr="00853CD5">
        <w:rPr>
          <w:sz w:val="24"/>
          <w:szCs w:val="24"/>
        </w:rPr>
        <w:t>dGPS</w:t>
      </w:r>
      <w:proofErr w:type="spellEnd"/>
      <w:r w:rsidRPr="00853CD5">
        <w:rPr>
          <w:sz w:val="24"/>
          <w:szCs w:val="24"/>
        </w:rPr>
        <w:t xml:space="preserve"> used for acquiring precise photo locations that are then corrected to an </w:t>
      </w:r>
      <w:proofErr w:type="spellStart"/>
      <w:r w:rsidRPr="00853CD5">
        <w:rPr>
          <w:sz w:val="24"/>
          <w:szCs w:val="24"/>
        </w:rPr>
        <w:t>Emlid</w:t>
      </w:r>
      <w:proofErr w:type="spellEnd"/>
      <w:r w:rsidRPr="00853CD5">
        <w:rPr>
          <w:sz w:val="24"/>
          <w:szCs w:val="24"/>
        </w:rPr>
        <w:t xml:space="preserve"> Reach RS2 </w:t>
      </w:r>
      <w:proofErr w:type="spellStart"/>
      <w:r w:rsidRPr="00853CD5">
        <w:rPr>
          <w:sz w:val="24"/>
          <w:szCs w:val="24"/>
        </w:rPr>
        <w:t>dGPS</w:t>
      </w:r>
      <w:proofErr w:type="spellEnd"/>
      <w:r w:rsidRPr="00853CD5">
        <w:rPr>
          <w:sz w:val="24"/>
          <w:szCs w:val="24"/>
        </w:rPr>
        <w:t xml:space="preserve"> base station (e.g., Zhang et al., 2019). The resulting photographs were processed using Agisoft </w:t>
      </w:r>
      <w:proofErr w:type="spellStart"/>
      <w:r w:rsidRPr="00853CD5">
        <w:rPr>
          <w:sz w:val="24"/>
          <w:szCs w:val="24"/>
        </w:rPr>
        <w:t>Metashape</w:t>
      </w:r>
      <w:proofErr w:type="spellEnd"/>
      <w:r w:rsidRPr="00853CD5">
        <w:rPr>
          <w:sz w:val="24"/>
          <w:szCs w:val="24"/>
        </w:rPr>
        <w:t xml:space="preserve"> software into DEMs and </w:t>
      </w:r>
      <w:proofErr w:type="spellStart"/>
      <w:r w:rsidRPr="00853CD5">
        <w:rPr>
          <w:sz w:val="24"/>
          <w:szCs w:val="24"/>
        </w:rPr>
        <w:t>Orthomosaics</w:t>
      </w:r>
      <w:proofErr w:type="spellEnd"/>
      <w:r w:rsidRPr="00853CD5">
        <w:rPr>
          <w:sz w:val="24"/>
          <w:szCs w:val="24"/>
        </w:rPr>
        <w:t>, with resolutions of 6-10 and 3-5 cm/pixel, respectively (see Data Availability statement for access).</w:t>
      </w:r>
    </w:p>
    <w:p w14:paraId="5ED5626A" w14:textId="1550B0F3" w:rsidR="00E65594" w:rsidRPr="00853CD5" w:rsidRDefault="00E65594" w:rsidP="00E65594">
      <w:pPr>
        <w:ind w:firstLine="720"/>
        <w:jc w:val="both"/>
        <w:rPr>
          <w:sz w:val="24"/>
          <w:szCs w:val="24"/>
        </w:rPr>
      </w:pPr>
      <w:r w:rsidRPr="00853CD5">
        <w:rPr>
          <w:sz w:val="24"/>
          <w:szCs w:val="24"/>
        </w:rPr>
        <w:t xml:space="preserve">A single paleoseismic trench was excavated, cleaned, gridded, and logged. As a base for logging, an orthophoto mosaic was constructed using Agisoft </w:t>
      </w:r>
      <w:proofErr w:type="spellStart"/>
      <w:r w:rsidRPr="00853CD5">
        <w:rPr>
          <w:sz w:val="24"/>
          <w:szCs w:val="24"/>
        </w:rPr>
        <w:t>Metashape</w:t>
      </w:r>
      <w:proofErr w:type="spellEnd"/>
      <w:r w:rsidRPr="00853CD5">
        <w:rPr>
          <w:sz w:val="24"/>
          <w:szCs w:val="24"/>
        </w:rPr>
        <w:t xml:space="preserve"> software with photographs captured with a Samsung Galaxy S20 Ultra. The orthophoto was accurately scaled and oriented using reference points extracted from an iPad-lidar scan of the trench wall (</w:t>
      </w:r>
      <w:r w:rsidRPr="00853CD5">
        <w:rPr>
          <w:b/>
          <w:sz w:val="24"/>
          <w:szCs w:val="24"/>
        </w:rPr>
        <w:t>Pierce and Koehler, 2022</w:t>
      </w:r>
      <w:r w:rsidR="00853CD5">
        <w:rPr>
          <w:b/>
          <w:sz w:val="24"/>
          <w:szCs w:val="24"/>
        </w:rPr>
        <w:t xml:space="preserve"> </w:t>
      </w:r>
      <w:r w:rsidR="00853CD5">
        <w:rPr>
          <w:b/>
          <w:i/>
          <w:iCs/>
          <w:sz w:val="24"/>
          <w:szCs w:val="24"/>
        </w:rPr>
        <w:t>in press</w:t>
      </w:r>
      <w:r w:rsidRPr="00853CD5">
        <w:rPr>
          <w:sz w:val="24"/>
          <w:szCs w:val="24"/>
        </w:rPr>
        <w:t xml:space="preserve">). Logging was then conducted on an iPad. Units and faults were divided and described following standard paleoseismic methods (e.g., McCalpin, 2009), including sedimentary facies, cross-cutting relations, and development of soils. Radiocarbon samples of charcoal, plant material, and soil were processed and analyzed at Beta Analytic laboratory in Miami, Florida, and calibrated using </w:t>
      </w:r>
      <w:proofErr w:type="spellStart"/>
      <w:r w:rsidRPr="00853CD5">
        <w:rPr>
          <w:sz w:val="24"/>
          <w:szCs w:val="24"/>
        </w:rPr>
        <w:t>OxCal</w:t>
      </w:r>
      <w:proofErr w:type="spellEnd"/>
      <w:r w:rsidRPr="00853CD5">
        <w:rPr>
          <w:sz w:val="24"/>
          <w:szCs w:val="24"/>
        </w:rPr>
        <w:t xml:space="preserve"> v4.4 </w:t>
      </w:r>
      <w:r w:rsidRPr="00853CD5">
        <w:rPr>
          <w:sz w:val="24"/>
          <w:szCs w:val="24"/>
        </w:rPr>
        <w:fldChar w:fldCharType="begin"/>
      </w:r>
      <w:r w:rsidRPr="00853CD5">
        <w:rPr>
          <w:sz w:val="24"/>
          <w:szCs w:val="24"/>
        </w:rPr>
        <w:instrText xml:space="preserve"> ADDIN ZOTERO_ITEM CSL_CITATION {"citationID":"6DgAtuTf","properties":{"formattedCitation":"(Bronk Ramsey, 1995)","plainCitation":"(Bronk Ramsey, 1995)","noteIndex":0},"citationItems":[{"id":762,"uris":["http://zotero.org/users/1958668/items/DFJM35YK"],"itemData":{"id":762,"type":"article-journal","abstract":"People usually study the chronologies of archaeological sites and geological sequences using many different kinds of evidence, taking into account calibrated radiocarbon dates, other dating methods and stratigraphic information. Many individual case studies demonstrate the value of using statistical methods to combine these different types of information. I have developed a computer program, OxCal, running under Windows 3.1 (for IBM PCs), that will perform both 14C calibration and calculate what extra information can be gained from stratigraphic evidence. The program can perform automatic wiggle matches and calculate probability distributions for samples in sequences and phases. The program is written in C++ and uses Bayesian statistics and Gibbs sampling for the calculations. The program is very easy to use, both for simple calibration and complex site analysis, and will produce graphical output from virtually any printer.","container-title":"Radiocarbon","DOI":"10.1017/S0033822200030903","ISSN":"0033-8222, 1945-5755","issue":"2","language":"en","page":"425-430","source":"Cambridge Core","title":"Radiocarbon Calibration and Analysis of Stratigraphy: The OxCal Program","title-short":"Radiocarbon Calibration and Analysis of Stratigraphy","volume":"37","author":[{"family":"Bronk Ramsey","given":"Christopher"}],"issued":{"date-parts":[["1995"]],"season":"ed"}}}],"schema":"https://github.com/citation-style-language/schema/raw/master/csl-citation.json"} </w:instrText>
      </w:r>
      <w:r w:rsidRPr="00853CD5">
        <w:rPr>
          <w:sz w:val="24"/>
          <w:szCs w:val="24"/>
        </w:rPr>
        <w:fldChar w:fldCharType="separate"/>
      </w:r>
      <w:r w:rsidRPr="00853CD5">
        <w:rPr>
          <w:sz w:val="24"/>
          <w:szCs w:val="24"/>
        </w:rPr>
        <w:t>(</w:t>
      </w:r>
      <w:proofErr w:type="spellStart"/>
      <w:r w:rsidRPr="00853CD5">
        <w:rPr>
          <w:sz w:val="24"/>
          <w:szCs w:val="24"/>
        </w:rPr>
        <w:t>Bronk</w:t>
      </w:r>
      <w:proofErr w:type="spellEnd"/>
      <w:r w:rsidRPr="00853CD5">
        <w:rPr>
          <w:sz w:val="24"/>
          <w:szCs w:val="24"/>
        </w:rPr>
        <w:t xml:space="preserve"> Ramsey, 1995)</w:t>
      </w:r>
      <w:r w:rsidRPr="00853CD5">
        <w:rPr>
          <w:sz w:val="24"/>
          <w:szCs w:val="24"/>
        </w:rPr>
        <w:fldChar w:fldCharType="end"/>
      </w:r>
      <w:r w:rsidRPr="00853CD5">
        <w:rPr>
          <w:sz w:val="24"/>
          <w:szCs w:val="24"/>
        </w:rPr>
        <w:t xml:space="preserve"> with the IntCal20 calibration curve. Ages and processing details are listed in </w:t>
      </w:r>
      <w:r w:rsidRPr="00853CD5">
        <w:rPr>
          <w:b/>
          <w:sz w:val="24"/>
          <w:szCs w:val="24"/>
        </w:rPr>
        <w:t>Table 1</w:t>
      </w:r>
      <w:r w:rsidRPr="00853CD5">
        <w:rPr>
          <w:sz w:val="24"/>
          <w:szCs w:val="24"/>
        </w:rPr>
        <w:t xml:space="preserve">. </w:t>
      </w:r>
    </w:p>
    <w:p w14:paraId="3B2D66FB" w14:textId="5B38F7BC" w:rsidR="00E65594" w:rsidRDefault="00E65594" w:rsidP="00E65594">
      <w:pPr>
        <w:jc w:val="both"/>
        <w:rPr>
          <w:b/>
          <w:sz w:val="24"/>
          <w:szCs w:val="24"/>
        </w:rPr>
      </w:pPr>
    </w:p>
    <w:p w14:paraId="3384DBF6" w14:textId="1576227D" w:rsidR="00853CD5" w:rsidRDefault="00853CD5">
      <w:pPr>
        <w:rPr>
          <w:b/>
          <w:sz w:val="24"/>
          <w:szCs w:val="24"/>
        </w:rPr>
      </w:pPr>
      <w:r>
        <w:rPr>
          <w:b/>
          <w:sz w:val="24"/>
          <w:szCs w:val="24"/>
        </w:rPr>
        <w:br w:type="page"/>
      </w:r>
    </w:p>
    <w:p w14:paraId="7E4AB408" w14:textId="77777777" w:rsidR="00853CD5" w:rsidRPr="00853CD5" w:rsidRDefault="00853CD5" w:rsidP="00853CD5">
      <w:pPr>
        <w:rPr>
          <w:sz w:val="24"/>
          <w:szCs w:val="24"/>
        </w:rPr>
      </w:pPr>
      <w:r w:rsidRPr="00853CD5">
        <w:rPr>
          <w:noProof/>
          <w:sz w:val="24"/>
          <w:szCs w:val="24"/>
        </w:rPr>
        <w:lastRenderedPageBreak/>
        <w:drawing>
          <wp:inline distT="114300" distB="114300" distL="114300" distR="114300" wp14:anchorId="24FDEE71" wp14:editId="3CB11ADA">
            <wp:extent cx="4833422" cy="7478125"/>
            <wp:effectExtent l="0" t="0" r="0" b="0"/>
            <wp:docPr id="2" name="image6.jpg"/>
            <wp:cNvGraphicFramePr/>
            <a:graphic xmlns:a="http://schemas.openxmlformats.org/drawingml/2006/main">
              <a:graphicData uri="http://schemas.openxmlformats.org/drawingml/2006/picture">
                <pic:pic xmlns:pic="http://schemas.openxmlformats.org/drawingml/2006/picture">
                  <pic:nvPicPr>
                    <pic:cNvPr id="0" name="image6.jpg"/>
                    <pic:cNvPicPr preferRelativeResize="0"/>
                  </pic:nvPicPr>
                  <pic:blipFill>
                    <a:blip r:embed="rId12"/>
                    <a:srcRect/>
                    <a:stretch>
                      <a:fillRect/>
                    </a:stretch>
                  </pic:blipFill>
                  <pic:spPr>
                    <a:xfrm>
                      <a:off x="0" y="0"/>
                      <a:ext cx="4833422" cy="7478125"/>
                    </a:xfrm>
                    <a:prstGeom prst="rect">
                      <a:avLst/>
                    </a:prstGeom>
                    <a:ln/>
                  </pic:spPr>
                </pic:pic>
              </a:graphicData>
            </a:graphic>
          </wp:inline>
        </w:drawing>
      </w:r>
    </w:p>
    <w:p w14:paraId="12E98E1F" w14:textId="77777777" w:rsidR="00853CD5" w:rsidRPr="00853CD5" w:rsidRDefault="00853CD5" w:rsidP="00853CD5">
      <w:pPr>
        <w:rPr>
          <w:sz w:val="24"/>
          <w:szCs w:val="24"/>
        </w:rPr>
      </w:pPr>
      <w:r w:rsidRPr="00853CD5">
        <w:rPr>
          <w:b/>
          <w:sz w:val="24"/>
          <w:szCs w:val="24"/>
        </w:rPr>
        <w:t xml:space="preserve">Figure 2. </w:t>
      </w:r>
      <w:r w:rsidRPr="00853CD5">
        <w:rPr>
          <w:sz w:val="24"/>
          <w:szCs w:val="24"/>
        </w:rPr>
        <w:t xml:space="preserve">Fault scarps in young geomorphic surfaces show that each of the major thrusts in the Kura fold-thrust belt is active. Locations indicated on Figure 1. </w:t>
      </w:r>
    </w:p>
    <w:p w14:paraId="7015DE03" w14:textId="77777777" w:rsidR="00853CD5" w:rsidRPr="00853CD5" w:rsidRDefault="00853CD5" w:rsidP="00E65594">
      <w:pPr>
        <w:jc w:val="both"/>
        <w:rPr>
          <w:b/>
          <w:sz w:val="24"/>
          <w:szCs w:val="24"/>
        </w:rPr>
      </w:pPr>
    </w:p>
    <w:p w14:paraId="57D4894B" w14:textId="1C4EFAC4" w:rsidR="00E65594" w:rsidRPr="00853CD5" w:rsidRDefault="00E65594" w:rsidP="00E65594">
      <w:pPr>
        <w:pStyle w:val="Heading-AGU"/>
        <w:rPr>
          <w:u w:val="single"/>
        </w:rPr>
      </w:pPr>
      <w:r w:rsidRPr="00853CD5">
        <w:lastRenderedPageBreak/>
        <w:t xml:space="preserve">3 </w:t>
      </w:r>
      <w:r w:rsidRPr="00853CD5">
        <w:t>Results</w:t>
      </w:r>
    </w:p>
    <w:p w14:paraId="0FA3E17C" w14:textId="77777777" w:rsidR="00E65594" w:rsidRPr="00853CD5" w:rsidRDefault="00E65594" w:rsidP="00E65594">
      <w:pPr>
        <w:pStyle w:val="Heading-Secondary"/>
      </w:pPr>
      <w:r w:rsidRPr="00853CD5">
        <w:t>3.1 Fault Mapping</w:t>
      </w:r>
    </w:p>
    <w:p w14:paraId="1D0E005B" w14:textId="77777777" w:rsidR="00E65594" w:rsidRPr="00853CD5" w:rsidRDefault="00E65594" w:rsidP="00E65594">
      <w:pPr>
        <w:ind w:firstLine="720"/>
        <w:jc w:val="both"/>
        <w:rPr>
          <w:sz w:val="24"/>
          <w:szCs w:val="24"/>
        </w:rPr>
      </w:pPr>
      <w:r w:rsidRPr="00853CD5">
        <w:rPr>
          <w:sz w:val="24"/>
          <w:szCs w:val="24"/>
        </w:rPr>
        <w:t xml:space="preserve">Our field reconnaissance focused on the easternmost 60 km of the Kura fold-thrust belt from near </w:t>
      </w:r>
      <w:proofErr w:type="spellStart"/>
      <w:r w:rsidRPr="00853CD5">
        <w:rPr>
          <w:sz w:val="24"/>
          <w:szCs w:val="24"/>
        </w:rPr>
        <w:t>Goychay</w:t>
      </w:r>
      <w:proofErr w:type="spellEnd"/>
      <w:r w:rsidRPr="00853CD5">
        <w:rPr>
          <w:sz w:val="24"/>
          <w:szCs w:val="24"/>
        </w:rPr>
        <w:t xml:space="preserve"> to </w:t>
      </w:r>
      <w:proofErr w:type="spellStart"/>
      <w:r w:rsidRPr="00853CD5">
        <w:rPr>
          <w:sz w:val="24"/>
          <w:szCs w:val="24"/>
        </w:rPr>
        <w:t>Agsu</w:t>
      </w:r>
      <w:proofErr w:type="spellEnd"/>
      <w:r w:rsidRPr="00853CD5">
        <w:rPr>
          <w:sz w:val="24"/>
          <w:szCs w:val="24"/>
        </w:rPr>
        <w:t xml:space="preserve"> (</w:t>
      </w:r>
      <w:r w:rsidRPr="00853CD5">
        <w:rPr>
          <w:b/>
          <w:sz w:val="24"/>
          <w:szCs w:val="24"/>
        </w:rPr>
        <w:t>Figure 1</w:t>
      </w:r>
      <w:r w:rsidRPr="00853CD5">
        <w:rPr>
          <w:sz w:val="24"/>
          <w:szCs w:val="24"/>
        </w:rPr>
        <w:t xml:space="preserve">). This section of the thrust-belt consists of two major thrust sheets that each comprise several imbricate thrusts. The more northerly sheet forms the </w:t>
      </w:r>
      <w:proofErr w:type="spellStart"/>
      <w:r w:rsidRPr="00853CD5">
        <w:rPr>
          <w:sz w:val="24"/>
          <w:szCs w:val="24"/>
        </w:rPr>
        <w:t>Längäiz</w:t>
      </w:r>
      <w:proofErr w:type="spellEnd"/>
      <w:r w:rsidRPr="00853CD5">
        <w:rPr>
          <w:sz w:val="24"/>
          <w:szCs w:val="24"/>
        </w:rPr>
        <w:t xml:space="preserve"> ridge, which is a relay ramp that steps near </w:t>
      </w:r>
      <w:proofErr w:type="spellStart"/>
      <w:r w:rsidRPr="00853CD5">
        <w:rPr>
          <w:sz w:val="24"/>
          <w:szCs w:val="24"/>
        </w:rPr>
        <w:t>Goychay</w:t>
      </w:r>
      <w:proofErr w:type="spellEnd"/>
      <w:r w:rsidRPr="00853CD5">
        <w:rPr>
          <w:sz w:val="24"/>
          <w:szCs w:val="24"/>
        </w:rPr>
        <w:t xml:space="preserve">. The southerly sheet begins to the east of </w:t>
      </w:r>
      <w:proofErr w:type="spellStart"/>
      <w:r w:rsidRPr="00853CD5">
        <w:rPr>
          <w:sz w:val="24"/>
          <w:szCs w:val="24"/>
        </w:rPr>
        <w:t>Goychay</w:t>
      </w:r>
      <w:proofErr w:type="spellEnd"/>
      <w:r w:rsidRPr="00853CD5">
        <w:rPr>
          <w:sz w:val="24"/>
          <w:szCs w:val="24"/>
        </w:rPr>
        <w:t xml:space="preserve"> and increases in relief eastward as it forms a large anticline (the </w:t>
      </w:r>
      <w:proofErr w:type="spellStart"/>
      <w:r w:rsidRPr="00853CD5">
        <w:rPr>
          <w:sz w:val="24"/>
          <w:szCs w:val="24"/>
        </w:rPr>
        <w:t>Garamäyäm</w:t>
      </w:r>
      <w:proofErr w:type="spellEnd"/>
      <w:r w:rsidRPr="00853CD5">
        <w:rPr>
          <w:sz w:val="24"/>
          <w:szCs w:val="24"/>
        </w:rPr>
        <w:t xml:space="preserve"> ridge) before tapering and finally disappearing just south of </w:t>
      </w:r>
      <w:proofErr w:type="spellStart"/>
      <w:r w:rsidRPr="00853CD5">
        <w:rPr>
          <w:sz w:val="24"/>
          <w:szCs w:val="24"/>
        </w:rPr>
        <w:t>Agsu</w:t>
      </w:r>
      <w:proofErr w:type="spellEnd"/>
      <w:r w:rsidRPr="00853CD5">
        <w:rPr>
          <w:sz w:val="24"/>
          <w:szCs w:val="24"/>
        </w:rPr>
        <w:t xml:space="preserve">. Near the center of the </w:t>
      </w:r>
      <w:proofErr w:type="spellStart"/>
      <w:r w:rsidRPr="00853CD5">
        <w:rPr>
          <w:sz w:val="24"/>
          <w:szCs w:val="24"/>
        </w:rPr>
        <w:t>Garamäyäm</w:t>
      </w:r>
      <w:proofErr w:type="spellEnd"/>
      <w:r w:rsidRPr="00853CD5">
        <w:rPr>
          <w:sz w:val="24"/>
          <w:szCs w:val="24"/>
        </w:rPr>
        <w:t xml:space="preserve"> ridge the southerly sheet is split into two thrusts, which merge eastward. Field surveys revealed fault scarps and uplifted youthful geomorphic surfaces on </w:t>
      </w:r>
      <w:proofErr w:type="gramStart"/>
      <w:r w:rsidRPr="00853CD5">
        <w:rPr>
          <w:sz w:val="24"/>
          <w:szCs w:val="24"/>
        </w:rPr>
        <w:t>all of</w:t>
      </w:r>
      <w:proofErr w:type="gramEnd"/>
      <w:r w:rsidRPr="00853CD5">
        <w:rPr>
          <w:sz w:val="24"/>
          <w:szCs w:val="24"/>
        </w:rPr>
        <w:t xml:space="preserve"> these different fault strands (</w:t>
      </w:r>
      <w:r w:rsidRPr="00853CD5">
        <w:rPr>
          <w:b/>
          <w:sz w:val="24"/>
          <w:szCs w:val="24"/>
        </w:rPr>
        <w:t>Figure 2</w:t>
      </w:r>
      <w:r w:rsidRPr="00853CD5">
        <w:rPr>
          <w:sz w:val="24"/>
          <w:szCs w:val="24"/>
        </w:rPr>
        <w:t>), which suggests that each of these thrusts has been active in the Holocene and periodically ruptures to the ground surface during large earthquakes.</w:t>
      </w:r>
    </w:p>
    <w:p w14:paraId="3D306047" w14:textId="77777777" w:rsidR="00E65594" w:rsidRPr="00853CD5" w:rsidRDefault="00E65594" w:rsidP="00E65594">
      <w:pPr>
        <w:jc w:val="both"/>
        <w:rPr>
          <w:sz w:val="24"/>
          <w:szCs w:val="24"/>
          <w:u w:val="single"/>
        </w:rPr>
      </w:pPr>
    </w:p>
    <w:p w14:paraId="03EA46A2" w14:textId="77777777" w:rsidR="00E65594" w:rsidRPr="00853CD5" w:rsidRDefault="00E65594" w:rsidP="00E65594">
      <w:pPr>
        <w:pStyle w:val="Heading-Secondary"/>
      </w:pPr>
      <w:r w:rsidRPr="00853CD5">
        <w:t>3.2 Paleoseismic Trenching</w:t>
      </w:r>
    </w:p>
    <w:p w14:paraId="4DA4693A" w14:textId="77777777" w:rsidR="00E65594" w:rsidRPr="00853CD5" w:rsidRDefault="00E65594" w:rsidP="00E65594">
      <w:pPr>
        <w:pStyle w:val="Heading3"/>
        <w:ind w:left="709"/>
        <w:rPr>
          <w:rFonts w:cs="Times New Roman"/>
          <w:szCs w:val="24"/>
        </w:rPr>
      </w:pPr>
      <w:r w:rsidRPr="00853CD5">
        <w:rPr>
          <w:rFonts w:cs="Times New Roman"/>
          <w:szCs w:val="24"/>
        </w:rPr>
        <w:t>3.2.1 Description of Trench Site</w:t>
      </w:r>
    </w:p>
    <w:p w14:paraId="26032539" w14:textId="4177BFF8" w:rsidR="00853CD5" w:rsidRDefault="00E65594" w:rsidP="003647B7">
      <w:pPr>
        <w:ind w:firstLine="720"/>
        <w:jc w:val="both"/>
        <w:rPr>
          <w:sz w:val="24"/>
          <w:szCs w:val="24"/>
        </w:rPr>
      </w:pPr>
      <w:r w:rsidRPr="00853CD5">
        <w:rPr>
          <w:sz w:val="24"/>
          <w:szCs w:val="24"/>
        </w:rPr>
        <w:t xml:space="preserve">The Kura thrust immediately adjacent to </w:t>
      </w:r>
      <w:proofErr w:type="spellStart"/>
      <w:r w:rsidRPr="00853CD5">
        <w:rPr>
          <w:sz w:val="24"/>
          <w:szCs w:val="24"/>
        </w:rPr>
        <w:t>Agsu</w:t>
      </w:r>
      <w:proofErr w:type="spellEnd"/>
      <w:r w:rsidRPr="00853CD5">
        <w:rPr>
          <w:sz w:val="24"/>
          <w:szCs w:val="24"/>
        </w:rPr>
        <w:t xml:space="preserve"> follows the rangefront of the Greater Caucasus. Here the active fault forms a ~50-m-high back-tilted uplifted bench along the rangefront, with a clear fold in the crest of the uplifted surface (</w:t>
      </w:r>
      <w:r w:rsidRPr="00853CD5">
        <w:rPr>
          <w:b/>
          <w:sz w:val="24"/>
          <w:szCs w:val="24"/>
        </w:rPr>
        <w:t>Figure 3</w:t>
      </w:r>
      <w:r w:rsidRPr="00853CD5">
        <w:rPr>
          <w:sz w:val="24"/>
          <w:szCs w:val="24"/>
        </w:rPr>
        <w:t xml:space="preserve">). Approximately 2.5 km east of </w:t>
      </w:r>
      <w:proofErr w:type="spellStart"/>
      <w:r w:rsidRPr="00853CD5">
        <w:rPr>
          <w:sz w:val="24"/>
          <w:szCs w:val="24"/>
        </w:rPr>
        <w:t>Agsu</w:t>
      </w:r>
      <w:proofErr w:type="spellEnd"/>
      <w:r w:rsidRPr="00853CD5">
        <w:rPr>
          <w:sz w:val="24"/>
          <w:szCs w:val="24"/>
        </w:rPr>
        <w:t xml:space="preserve"> is a small alluvial valley where a stream has incised through this bench, cutting perpendicularly to the fault trace (</w:t>
      </w:r>
      <w:r w:rsidRPr="00853CD5">
        <w:rPr>
          <w:b/>
          <w:sz w:val="24"/>
          <w:szCs w:val="24"/>
        </w:rPr>
        <w:t>Figures 3 and 4</w:t>
      </w:r>
      <w:r w:rsidRPr="00853CD5">
        <w:rPr>
          <w:sz w:val="24"/>
          <w:szCs w:val="24"/>
        </w:rPr>
        <w:t>). This valley contains two low incised terraces, a lower T1 terrace and a 1-m-higher T2 terrace. The two terrace treads are smooth, relatively flat, and continuously traceable upstream from the valley mouth for ~300 m (</w:t>
      </w:r>
      <w:r w:rsidRPr="00853CD5">
        <w:rPr>
          <w:b/>
          <w:sz w:val="24"/>
          <w:szCs w:val="24"/>
        </w:rPr>
        <w:t>Figure 4A</w:t>
      </w:r>
      <w:r w:rsidRPr="00853CD5">
        <w:rPr>
          <w:sz w:val="24"/>
          <w:szCs w:val="24"/>
        </w:rPr>
        <w:t xml:space="preserve">). At the valley mouth, both terraces are displaced, with fault scarps that are ~2 m high. On the western margin of the valley a small stream has sharply incised into the T1 terrace. The drone-derived </w:t>
      </w:r>
      <w:proofErr w:type="spellStart"/>
      <w:r w:rsidRPr="00853CD5">
        <w:rPr>
          <w:sz w:val="24"/>
          <w:szCs w:val="24"/>
        </w:rPr>
        <w:t>hillshade</w:t>
      </w:r>
      <w:proofErr w:type="spellEnd"/>
      <w:r w:rsidRPr="00853CD5">
        <w:rPr>
          <w:sz w:val="24"/>
          <w:szCs w:val="24"/>
        </w:rPr>
        <w:t xml:space="preserve"> image shows evidence of anthropogenic modification of the scarp in the T2 terrace, but both sides of the fault in the T1 terrace appear to be unmodified and correlative. A paleoseismic trench was excavated across the 2-m-high scarp cutting across the T1 terrace in this alluvial valley. </w:t>
      </w:r>
      <w:r w:rsidR="00853CD5">
        <w:rPr>
          <w:sz w:val="24"/>
          <w:szCs w:val="24"/>
        </w:rPr>
        <w:br w:type="page"/>
      </w:r>
    </w:p>
    <w:p w14:paraId="793ED86A" w14:textId="77777777" w:rsidR="00853CD5" w:rsidRPr="00853CD5" w:rsidRDefault="00853CD5" w:rsidP="00853CD5">
      <w:pPr>
        <w:rPr>
          <w:b/>
          <w:sz w:val="24"/>
          <w:szCs w:val="24"/>
        </w:rPr>
      </w:pPr>
      <w:r w:rsidRPr="00853CD5">
        <w:rPr>
          <w:b/>
          <w:noProof/>
          <w:sz w:val="24"/>
          <w:szCs w:val="24"/>
        </w:rPr>
        <w:lastRenderedPageBreak/>
        <w:drawing>
          <wp:inline distT="114300" distB="114300" distL="114300" distR="114300" wp14:anchorId="7ADA0E47" wp14:editId="1A62A851">
            <wp:extent cx="3595688" cy="7065719"/>
            <wp:effectExtent l="0" t="0" r="0" b="0"/>
            <wp:docPr id="1" name="image3.jpg" descr="Map&#10;&#10;Description automatically generated"/>
            <wp:cNvGraphicFramePr/>
            <a:graphic xmlns:a="http://schemas.openxmlformats.org/drawingml/2006/main">
              <a:graphicData uri="http://schemas.openxmlformats.org/drawingml/2006/picture">
                <pic:pic xmlns:pic="http://schemas.openxmlformats.org/drawingml/2006/picture">
                  <pic:nvPicPr>
                    <pic:cNvPr id="1" name="image3.jpg" descr="Map&#10;&#10;Description automatically generated"/>
                    <pic:cNvPicPr preferRelativeResize="0"/>
                  </pic:nvPicPr>
                  <pic:blipFill>
                    <a:blip r:embed="rId13"/>
                    <a:srcRect/>
                    <a:stretch>
                      <a:fillRect/>
                    </a:stretch>
                  </pic:blipFill>
                  <pic:spPr>
                    <a:xfrm>
                      <a:off x="0" y="0"/>
                      <a:ext cx="3595688" cy="7065719"/>
                    </a:xfrm>
                    <a:prstGeom prst="rect">
                      <a:avLst/>
                    </a:prstGeom>
                    <a:ln/>
                  </pic:spPr>
                </pic:pic>
              </a:graphicData>
            </a:graphic>
          </wp:inline>
        </w:drawing>
      </w:r>
    </w:p>
    <w:p w14:paraId="52E97184" w14:textId="7EBB18B9" w:rsidR="00853CD5" w:rsidRDefault="00853CD5" w:rsidP="003647B7">
      <w:pPr>
        <w:jc w:val="both"/>
        <w:rPr>
          <w:sz w:val="24"/>
          <w:szCs w:val="24"/>
        </w:rPr>
      </w:pPr>
      <w:r w:rsidRPr="00853CD5">
        <w:rPr>
          <w:b/>
          <w:sz w:val="24"/>
          <w:szCs w:val="24"/>
        </w:rPr>
        <w:t xml:space="preserve">Figure 3. </w:t>
      </w:r>
      <w:proofErr w:type="spellStart"/>
      <w:r w:rsidRPr="00853CD5">
        <w:rPr>
          <w:sz w:val="24"/>
          <w:szCs w:val="24"/>
        </w:rPr>
        <w:t>Hillshade</w:t>
      </w:r>
      <w:proofErr w:type="spellEnd"/>
      <w:r w:rsidRPr="00853CD5">
        <w:rPr>
          <w:sz w:val="24"/>
          <w:szCs w:val="24"/>
        </w:rPr>
        <w:t xml:space="preserve"> image of photogrammetry-derived DEM of the trench site east of </w:t>
      </w:r>
      <w:proofErr w:type="spellStart"/>
      <w:r w:rsidRPr="00853CD5">
        <w:rPr>
          <w:sz w:val="24"/>
          <w:szCs w:val="24"/>
        </w:rPr>
        <w:t>Agsu</w:t>
      </w:r>
      <w:proofErr w:type="spellEnd"/>
      <w:r w:rsidRPr="00853CD5">
        <w:rPr>
          <w:sz w:val="24"/>
          <w:szCs w:val="24"/>
        </w:rPr>
        <w:t>. Inset topographic profile shows characteristic folding of the 50-m-high uplifted bench along the rangefront here. Lower panel shows T1 and T2 terraces within the small alluvial valley.</w:t>
      </w:r>
      <w:r>
        <w:rPr>
          <w:sz w:val="24"/>
          <w:szCs w:val="24"/>
        </w:rPr>
        <w:br w:type="page"/>
      </w:r>
    </w:p>
    <w:p w14:paraId="3308C978" w14:textId="77777777" w:rsidR="00853CD5" w:rsidRPr="00853CD5" w:rsidRDefault="00853CD5" w:rsidP="00853CD5">
      <w:pPr>
        <w:rPr>
          <w:sz w:val="24"/>
          <w:szCs w:val="24"/>
        </w:rPr>
      </w:pPr>
      <w:r w:rsidRPr="00853CD5">
        <w:rPr>
          <w:noProof/>
          <w:sz w:val="24"/>
          <w:szCs w:val="24"/>
        </w:rPr>
        <w:lastRenderedPageBreak/>
        <w:drawing>
          <wp:inline distT="114300" distB="114300" distL="114300" distR="114300" wp14:anchorId="0B7C458E" wp14:editId="398513DB">
            <wp:extent cx="5943600" cy="3340100"/>
            <wp:effectExtent l="0" t="0" r="0" b="0"/>
            <wp:docPr id="3" name="image2.jpg" descr="A screenshot of a video game&#10;&#10;Description automatically generated with medium confidence"/>
            <wp:cNvGraphicFramePr/>
            <a:graphic xmlns:a="http://schemas.openxmlformats.org/drawingml/2006/main">
              <a:graphicData uri="http://schemas.openxmlformats.org/drawingml/2006/picture">
                <pic:pic xmlns:pic="http://schemas.openxmlformats.org/drawingml/2006/picture">
                  <pic:nvPicPr>
                    <pic:cNvPr id="3" name="image2.jpg" descr="A screenshot of a video game&#10;&#10;Description automatically generated with medium confidence"/>
                    <pic:cNvPicPr preferRelativeResize="0"/>
                  </pic:nvPicPr>
                  <pic:blipFill>
                    <a:blip r:embed="rId14"/>
                    <a:srcRect/>
                    <a:stretch>
                      <a:fillRect/>
                    </a:stretch>
                  </pic:blipFill>
                  <pic:spPr>
                    <a:xfrm>
                      <a:off x="0" y="0"/>
                      <a:ext cx="5943600" cy="3340100"/>
                    </a:xfrm>
                    <a:prstGeom prst="rect">
                      <a:avLst/>
                    </a:prstGeom>
                    <a:ln/>
                  </pic:spPr>
                </pic:pic>
              </a:graphicData>
            </a:graphic>
          </wp:inline>
        </w:drawing>
      </w:r>
    </w:p>
    <w:p w14:paraId="7325C826" w14:textId="77777777" w:rsidR="00853CD5" w:rsidRPr="00853CD5" w:rsidRDefault="00853CD5" w:rsidP="00853CD5">
      <w:pPr>
        <w:rPr>
          <w:sz w:val="24"/>
          <w:szCs w:val="24"/>
        </w:rPr>
      </w:pPr>
      <w:r w:rsidRPr="00853CD5">
        <w:rPr>
          <w:b/>
          <w:sz w:val="24"/>
          <w:szCs w:val="24"/>
        </w:rPr>
        <w:t>Figure 4</w:t>
      </w:r>
      <w:r w:rsidRPr="00853CD5">
        <w:rPr>
          <w:sz w:val="24"/>
          <w:szCs w:val="24"/>
        </w:rPr>
        <w:t xml:space="preserve">. Aerial photographs of the trench site before (A) and after (B) trench excavation, highlighting the 2-m-high scarp and small alluvial valley. (C) shows the excavated trench. (D) shows the uplifted folded bench along the rangefront. </w:t>
      </w:r>
    </w:p>
    <w:p w14:paraId="6F0BFCB0" w14:textId="77777777" w:rsidR="00E65594" w:rsidRPr="00853CD5" w:rsidRDefault="00E65594" w:rsidP="00E65594">
      <w:pPr>
        <w:jc w:val="both"/>
        <w:rPr>
          <w:sz w:val="24"/>
          <w:szCs w:val="24"/>
        </w:rPr>
      </w:pPr>
    </w:p>
    <w:p w14:paraId="60B4A7AC" w14:textId="77777777" w:rsidR="00E65594" w:rsidRPr="00853CD5" w:rsidRDefault="00E65594" w:rsidP="00E65594">
      <w:pPr>
        <w:pStyle w:val="Heading3"/>
        <w:rPr>
          <w:rFonts w:cs="Times New Roman"/>
          <w:szCs w:val="24"/>
        </w:rPr>
      </w:pPr>
      <w:r w:rsidRPr="00853CD5">
        <w:rPr>
          <w:rFonts w:cs="Times New Roman"/>
          <w:szCs w:val="24"/>
        </w:rPr>
        <w:t>3.2.2 Description of Trench Exposure</w:t>
      </w:r>
    </w:p>
    <w:p w14:paraId="0D915FB5" w14:textId="77777777" w:rsidR="00E65594" w:rsidRPr="00853CD5" w:rsidRDefault="00E65594" w:rsidP="00E65594">
      <w:pPr>
        <w:ind w:firstLine="720"/>
        <w:jc w:val="both"/>
        <w:rPr>
          <w:sz w:val="24"/>
          <w:szCs w:val="24"/>
        </w:rPr>
      </w:pPr>
      <w:r w:rsidRPr="00853CD5">
        <w:rPr>
          <w:sz w:val="24"/>
          <w:szCs w:val="24"/>
        </w:rPr>
        <w:t>The trench exposure was 22-m-long and 5-m-deep (</w:t>
      </w:r>
      <w:r w:rsidRPr="00853CD5">
        <w:rPr>
          <w:b/>
          <w:sz w:val="24"/>
          <w:szCs w:val="24"/>
        </w:rPr>
        <w:t>Figure 5</w:t>
      </w:r>
      <w:r w:rsidRPr="00853CD5">
        <w:rPr>
          <w:sz w:val="24"/>
          <w:szCs w:val="24"/>
        </w:rPr>
        <w:t xml:space="preserve">). The trench revealed a series of clays, alluvium, and colluvium that are cut and deformed by a low angle fault. The lowest unit in the trench, U1, is a colluvial deposit that consists of poorly sorted rounded cobbles and gravels in a fine grained silty/sandy matrix. Onlapping onto U1 is </w:t>
      </w:r>
      <w:proofErr w:type="gramStart"/>
      <w:r w:rsidRPr="00853CD5">
        <w:rPr>
          <w:sz w:val="24"/>
          <w:szCs w:val="24"/>
        </w:rPr>
        <w:t>U2,  a</w:t>
      </w:r>
      <w:proofErr w:type="gramEnd"/>
      <w:r w:rsidRPr="00853CD5">
        <w:rPr>
          <w:sz w:val="24"/>
          <w:szCs w:val="24"/>
        </w:rPr>
        <w:t xml:space="preserve"> south-thickening sequence of interbedded, well-sorted, grain-supported fluvial sands, gravels, and rounded cobbles. At the top of U2 is a ~40-cm-thick fine grained, light colored paleosol, that is readily traced across much of the trench. Above U1 in the hanging wall is U3, a 1.5-m-thick finely laminated clay that dries into prismatic </w:t>
      </w:r>
      <w:proofErr w:type="gramStart"/>
      <w:r w:rsidRPr="00853CD5">
        <w:rPr>
          <w:sz w:val="24"/>
          <w:szCs w:val="24"/>
        </w:rPr>
        <w:t>blocks, and</w:t>
      </w:r>
      <w:proofErr w:type="gramEnd"/>
      <w:r w:rsidRPr="00853CD5">
        <w:rPr>
          <w:sz w:val="24"/>
          <w:szCs w:val="24"/>
        </w:rPr>
        <w:t xml:space="preserve"> is highly sheared near the fault zone. Above U3 is U4, a sequence of clays, </w:t>
      </w:r>
      <w:proofErr w:type="gramStart"/>
      <w:r w:rsidRPr="00853CD5">
        <w:rPr>
          <w:sz w:val="24"/>
          <w:szCs w:val="24"/>
        </w:rPr>
        <w:t>silts</w:t>
      </w:r>
      <w:proofErr w:type="gramEnd"/>
      <w:r w:rsidRPr="00853CD5">
        <w:rPr>
          <w:sz w:val="24"/>
          <w:szCs w:val="24"/>
        </w:rPr>
        <w:t xml:space="preserve"> and sands with fine laminations. Above U4 is U5, a series of laminated silts and sands with a thin layer of </w:t>
      </w:r>
      <w:proofErr w:type="gramStart"/>
      <w:r w:rsidRPr="00853CD5">
        <w:rPr>
          <w:sz w:val="24"/>
          <w:szCs w:val="24"/>
        </w:rPr>
        <w:t>cobbles, and</w:t>
      </w:r>
      <w:proofErr w:type="gramEnd"/>
      <w:r w:rsidRPr="00853CD5">
        <w:rPr>
          <w:sz w:val="24"/>
          <w:szCs w:val="24"/>
        </w:rPr>
        <w:t xml:space="preserve"> scattered modern plastic garbage in the upper 20-30 cm. Above U2 is a poorly sorted colluvial unit, W1, composed of rounded cobbles and gravels in a fine grained matrix. At the top of W1 is a ~20-cm-thick, light-colored fine-grained paleosol. W1 is thickest directly below the fault scarp and tapers away from the scarp to the south. Above W1 is W2. W2 is another colluvial unit, composed of angular blocks of clay in a </w:t>
      </w:r>
      <w:proofErr w:type="gramStart"/>
      <w:r w:rsidRPr="00853CD5">
        <w:rPr>
          <w:sz w:val="24"/>
          <w:szCs w:val="24"/>
        </w:rPr>
        <w:t>fine grained</w:t>
      </w:r>
      <w:proofErr w:type="gramEnd"/>
      <w:r w:rsidRPr="00853CD5">
        <w:rPr>
          <w:sz w:val="24"/>
          <w:szCs w:val="24"/>
        </w:rPr>
        <w:t xml:space="preserve"> matrix with very few scattered pebbles. </w:t>
      </w:r>
    </w:p>
    <w:p w14:paraId="1D115DA6" w14:textId="5F33D1F4" w:rsidR="00853CD5" w:rsidRDefault="00E65594" w:rsidP="00E65594">
      <w:pPr>
        <w:ind w:firstLine="720"/>
        <w:jc w:val="both"/>
        <w:rPr>
          <w:sz w:val="24"/>
          <w:szCs w:val="24"/>
        </w:rPr>
      </w:pPr>
      <w:r w:rsidRPr="00853CD5">
        <w:rPr>
          <w:sz w:val="24"/>
          <w:szCs w:val="24"/>
        </w:rPr>
        <w:t xml:space="preserve">A sub-horizontal fault cuts across the trench exposure and splays into 4 sub-faults in the hanging wall (faults F1 to F4). Fault F4 forms a shear zone within U3. Faults F3 and F2 bound a shear zone composed of materials from U1 and are well marked by alignments of cobbles and pebbles. Fault F1 displaces part of the soil capping U2. Units U1, U2, U3, and U4 are clearly folded in the hanging wall of the trench, while U2 is largely undeformed in the footwall. </w:t>
      </w:r>
    </w:p>
    <w:p w14:paraId="620A723A" w14:textId="77777777" w:rsidR="00853CD5" w:rsidRDefault="00853CD5">
      <w:pPr>
        <w:rPr>
          <w:sz w:val="24"/>
          <w:szCs w:val="24"/>
        </w:rPr>
      </w:pPr>
      <w:r>
        <w:rPr>
          <w:sz w:val="24"/>
          <w:szCs w:val="24"/>
        </w:rPr>
        <w:br w:type="page"/>
      </w:r>
    </w:p>
    <w:p w14:paraId="58520FC5" w14:textId="733E7095" w:rsidR="00E65594" w:rsidRPr="00853CD5" w:rsidRDefault="00853CD5" w:rsidP="00853CD5">
      <w:pPr>
        <w:ind w:firstLine="720"/>
        <w:jc w:val="both"/>
        <w:rPr>
          <w:sz w:val="24"/>
          <w:szCs w:val="24"/>
        </w:rPr>
      </w:pPr>
      <w:r w:rsidRPr="00853CD5">
        <w:rPr>
          <w:noProof/>
          <w:sz w:val="24"/>
          <w:szCs w:val="24"/>
        </w:rPr>
        <w:lastRenderedPageBreak/>
        <w:drawing>
          <wp:inline distT="114300" distB="114300" distL="114300" distR="114300" wp14:anchorId="3D720B26" wp14:editId="5B2296EE">
            <wp:extent cx="8361750" cy="4891088"/>
            <wp:effectExtent l="0" t="0" r="0" b="0"/>
            <wp:docPr id="4" name="image5.jpg" descr="A picture containing diagram&#10;&#10;Description automatically generated"/>
            <wp:cNvGraphicFramePr/>
            <a:graphic xmlns:a="http://schemas.openxmlformats.org/drawingml/2006/main">
              <a:graphicData uri="http://schemas.openxmlformats.org/drawingml/2006/picture">
                <pic:pic xmlns:pic="http://schemas.openxmlformats.org/drawingml/2006/picture">
                  <pic:nvPicPr>
                    <pic:cNvPr id="4" name="image5.jpg" descr="A picture containing diagram&#10;&#10;Description automatically generated"/>
                    <pic:cNvPicPr preferRelativeResize="0"/>
                  </pic:nvPicPr>
                  <pic:blipFill>
                    <a:blip r:embed="rId15"/>
                    <a:srcRect/>
                    <a:stretch>
                      <a:fillRect/>
                    </a:stretch>
                  </pic:blipFill>
                  <pic:spPr>
                    <a:xfrm rot="5400000">
                      <a:off x="0" y="0"/>
                      <a:ext cx="8361750" cy="4891088"/>
                    </a:xfrm>
                    <a:prstGeom prst="rect">
                      <a:avLst/>
                    </a:prstGeom>
                    <a:ln/>
                  </pic:spPr>
                </pic:pic>
              </a:graphicData>
            </a:graphic>
          </wp:inline>
        </w:drawing>
      </w:r>
    </w:p>
    <w:p w14:paraId="3E427A4D" w14:textId="4C614CDB" w:rsidR="00E65594" w:rsidRPr="003647B7" w:rsidRDefault="00853CD5" w:rsidP="003647B7">
      <w:pPr>
        <w:rPr>
          <w:sz w:val="24"/>
          <w:szCs w:val="24"/>
        </w:rPr>
      </w:pPr>
      <w:r w:rsidRPr="00853CD5">
        <w:rPr>
          <w:b/>
          <w:sz w:val="24"/>
          <w:szCs w:val="24"/>
        </w:rPr>
        <w:lastRenderedPageBreak/>
        <w:t>Figure 5</w:t>
      </w:r>
      <w:r w:rsidR="007362A5">
        <w:rPr>
          <w:b/>
          <w:sz w:val="24"/>
          <w:szCs w:val="24"/>
        </w:rPr>
        <w:t xml:space="preserve"> (previous)</w:t>
      </w:r>
      <w:r w:rsidRPr="00853CD5">
        <w:rPr>
          <w:sz w:val="24"/>
          <w:szCs w:val="24"/>
        </w:rPr>
        <w:t xml:space="preserve">. Trench log (upper) and photomosaic (lower) of the east wall of the </w:t>
      </w:r>
      <w:proofErr w:type="spellStart"/>
      <w:r w:rsidRPr="00853CD5">
        <w:rPr>
          <w:sz w:val="24"/>
          <w:szCs w:val="24"/>
        </w:rPr>
        <w:t>Agsu</w:t>
      </w:r>
      <w:proofErr w:type="spellEnd"/>
      <w:r w:rsidRPr="00853CD5">
        <w:rPr>
          <w:sz w:val="24"/>
          <w:szCs w:val="24"/>
        </w:rPr>
        <w:t xml:space="preserve"> trench. Inset shows position of trench within fault scarp profile. Ages listed are modeled ages as described in text. We interpret evidence of two events primarily based on the colluvial wedge stratigraphy on the footwall (W1 and W2). </w:t>
      </w:r>
    </w:p>
    <w:p w14:paraId="175AC360" w14:textId="77777777" w:rsidR="00E65594" w:rsidRPr="00853CD5" w:rsidRDefault="00E65594" w:rsidP="00E65594">
      <w:pPr>
        <w:pStyle w:val="Heading3"/>
        <w:rPr>
          <w:rFonts w:cs="Times New Roman"/>
          <w:szCs w:val="24"/>
        </w:rPr>
      </w:pPr>
      <w:r w:rsidRPr="00853CD5">
        <w:rPr>
          <w:rFonts w:cs="Times New Roman"/>
          <w:szCs w:val="24"/>
        </w:rPr>
        <w:t>3.2.3 Event History</w:t>
      </w:r>
    </w:p>
    <w:p w14:paraId="100606D4" w14:textId="77777777" w:rsidR="00E65594" w:rsidRPr="00853CD5" w:rsidRDefault="00E65594" w:rsidP="00E65594">
      <w:pPr>
        <w:ind w:firstLine="720"/>
        <w:jc w:val="both"/>
        <w:rPr>
          <w:sz w:val="24"/>
          <w:szCs w:val="24"/>
        </w:rPr>
      </w:pPr>
      <w:r w:rsidRPr="00853CD5">
        <w:rPr>
          <w:sz w:val="24"/>
          <w:szCs w:val="24"/>
        </w:rPr>
        <w:t>The stratigraphy on the southern half of the trench provides evidence of two rupturing events, clearly demarcated by the two distinct colluvial wedges (W1 &amp; W2) resting upon undeformed fluvial sediments (U2) (</w:t>
      </w:r>
      <w:r w:rsidRPr="00853CD5">
        <w:rPr>
          <w:b/>
          <w:sz w:val="24"/>
          <w:szCs w:val="24"/>
        </w:rPr>
        <w:t>Figure 5</w:t>
      </w:r>
      <w:r w:rsidRPr="00853CD5">
        <w:rPr>
          <w:sz w:val="24"/>
          <w:szCs w:val="24"/>
        </w:rPr>
        <w:t>). The older, penultimate event (E1) produced the W1 colluvial wedge composed of unsorted gravels and cobbles that bury the paleosol capping the lower U2 fluvial sediments. This W1 wedge then developed a thin, fine-grained soil on its top. The younger, most recent event (E2) produced another colluvial wedge (W2</w:t>
      </w:r>
      <w:proofErr w:type="gramStart"/>
      <w:r w:rsidRPr="00853CD5">
        <w:rPr>
          <w:sz w:val="24"/>
          <w:szCs w:val="24"/>
        </w:rPr>
        <w:t>), but</w:t>
      </w:r>
      <w:proofErr w:type="gramEnd"/>
      <w:r w:rsidRPr="00853CD5">
        <w:rPr>
          <w:sz w:val="24"/>
          <w:szCs w:val="24"/>
        </w:rPr>
        <w:t xml:space="preserve"> composed of angular blocks of clay sourced from U3. This W2 wedge buried the thin soil capping the W1 penultimate wedge. </w:t>
      </w:r>
    </w:p>
    <w:p w14:paraId="5240BB65" w14:textId="77777777" w:rsidR="00E65594" w:rsidRPr="00853CD5" w:rsidRDefault="00E65594" w:rsidP="00E65594">
      <w:pPr>
        <w:ind w:firstLine="720"/>
        <w:jc w:val="both"/>
        <w:rPr>
          <w:sz w:val="24"/>
          <w:szCs w:val="24"/>
        </w:rPr>
      </w:pPr>
      <w:r w:rsidRPr="00853CD5">
        <w:rPr>
          <w:sz w:val="24"/>
          <w:szCs w:val="24"/>
        </w:rPr>
        <w:t xml:space="preserve">The penultimate E1 event ruptured the F1 and F2 faults through the U1 colluvial deposit at the bottom of the north-half of the trench along a sub-horizontal fault plane. This created an abrupt fold in this U1 colluvial deposit, which then collapsed forming the E1 wedge. The clays and silts of U4 were then deposited on the hanging wall, behind this fold. A minimum of 6.6 m of displacement can be estimated for E1 by </w:t>
      </w:r>
      <w:proofErr w:type="spellStart"/>
      <w:r w:rsidRPr="00853CD5">
        <w:rPr>
          <w:sz w:val="24"/>
          <w:szCs w:val="24"/>
        </w:rPr>
        <w:t>backslipping</w:t>
      </w:r>
      <w:proofErr w:type="spellEnd"/>
      <w:r w:rsidRPr="00853CD5">
        <w:rPr>
          <w:sz w:val="24"/>
          <w:szCs w:val="24"/>
        </w:rPr>
        <w:t xml:space="preserve"> U1 along faults F1 and F2. </w:t>
      </w:r>
    </w:p>
    <w:p w14:paraId="0241B34D" w14:textId="6FE3D9B0" w:rsidR="00E65594" w:rsidRPr="00853CD5" w:rsidRDefault="00E65594" w:rsidP="003647B7">
      <w:pPr>
        <w:ind w:firstLine="720"/>
        <w:jc w:val="both"/>
        <w:rPr>
          <w:sz w:val="24"/>
          <w:szCs w:val="24"/>
        </w:rPr>
      </w:pPr>
      <w:r w:rsidRPr="00853CD5">
        <w:rPr>
          <w:sz w:val="24"/>
          <w:szCs w:val="24"/>
        </w:rPr>
        <w:t xml:space="preserve">The more recent event, E2, ruptured the F3 fault along the base of the U3 clay, folding units U3 and U4 into a sharp fold-scarp, and again creating a colluvial wedge, W2. U5, like U4, represents growth strata deposited behind this fold on the hanging wall. A minimum of 3.5 m of displacement is required to thrust U3 over the crest of the fold in U1. As units U1 and U3 are both highly sheared in the fault zone, there is high uncertainty in these offset measurements. </w:t>
      </w:r>
    </w:p>
    <w:p w14:paraId="2D8854A2" w14:textId="77777777" w:rsidR="00E65594" w:rsidRPr="00853CD5" w:rsidRDefault="00E65594" w:rsidP="00E65594">
      <w:pPr>
        <w:pStyle w:val="Heading3"/>
        <w:rPr>
          <w:rFonts w:cs="Times New Roman"/>
          <w:szCs w:val="24"/>
        </w:rPr>
      </w:pPr>
      <w:r w:rsidRPr="00853CD5">
        <w:rPr>
          <w:rFonts w:cs="Times New Roman"/>
          <w:szCs w:val="24"/>
        </w:rPr>
        <w:t xml:space="preserve">3.2.4 </w:t>
      </w:r>
      <w:r w:rsidRPr="00853CD5">
        <w:rPr>
          <w:rFonts w:cs="Times New Roman"/>
          <w:szCs w:val="24"/>
          <w:vertAlign w:val="superscript"/>
        </w:rPr>
        <w:t>14</w:t>
      </w:r>
      <w:r w:rsidRPr="00853CD5">
        <w:rPr>
          <w:rFonts w:cs="Times New Roman"/>
          <w:szCs w:val="24"/>
        </w:rPr>
        <w:t>C Geochronology</w:t>
      </w:r>
    </w:p>
    <w:p w14:paraId="6223A584" w14:textId="77777777" w:rsidR="00E65594" w:rsidRPr="00853CD5" w:rsidRDefault="00E65594" w:rsidP="00E65594">
      <w:pPr>
        <w:ind w:firstLine="720"/>
        <w:jc w:val="both"/>
        <w:rPr>
          <w:sz w:val="24"/>
          <w:szCs w:val="24"/>
        </w:rPr>
      </w:pPr>
      <w:r w:rsidRPr="00853CD5">
        <w:rPr>
          <w:sz w:val="24"/>
          <w:szCs w:val="24"/>
        </w:rPr>
        <w:t xml:space="preserve">The radiocarbon ages of 14 total samples of charcoal, organic sediments, and plant fragments recovered from the strata were measured by Beta Analytic laboratories in Miami, Florida. The sample locations are indicated on </w:t>
      </w:r>
      <w:r w:rsidRPr="00853CD5">
        <w:rPr>
          <w:b/>
          <w:sz w:val="24"/>
          <w:szCs w:val="24"/>
        </w:rPr>
        <w:t>Figure 5</w:t>
      </w:r>
      <w:r w:rsidRPr="00853CD5">
        <w:rPr>
          <w:sz w:val="24"/>
          <w:szCs w:val="24"/>
        </w:rPr>
        <w:t xml:space="preserve">, and the results are listed in </w:t>
      </w:r>
      <w:r w:rsidRPr="00853CD5">
        <w:rPr>
          <w:b/>
          <w:sz w:val="24"/>
          <w:szCs w:val="24"/>
        </w:rPr>
        <w:t>Table 1</w:t>
      </w:r>
      <w:r w:rsidRPr="00853CD5">
        <w:rPr>
          <w:sz w:val="24"/>
          <w:szCs w:val="24"/>
        </w:rPr>
        <w:t xml:space="preserve">. Four samples: R5, R7, R10, and R33 yielded modern ages. Of these, R7 and R33 are from post-earthquake deposits, so the modern ages may be representative of their depositional ages, but due to uncertainty in the calibration of modern radiocarbon we exclude them from our </w:t>
      </w:r>
      <w:proofErr w:type="spellStart"/>
      <w:r w:rsidRPr="00853CD5">
        <w:rPr>
          <w:sz w:val="24"/>
          <w:szCs w:val="24"/>
        </w:rPr>
        <w:t>OxCal</w:t>
      </w:r>
      <w:proofErr w:type="spellEnd"/>
      <w:r w:rsidRPr="00853CD5">
        <w:rPr>
          <w:sz w:val="24"/>
          <w:szCs w:val="24"/>
        </w:rPr>
        <w:t xml:space="preserve"> model. R5 and R10, from within layers dated to pre-modern by other samples, are both plant materials so it is likely that we inadvertently sampled modern plant roots, and thus we exclude them from further analysis. Sample R22, from within the fault zone (Unit U1), is a large fragment of a nylon scarf. Nylon was invented in the mid 1900’s so we think that this material must have been brought down to this level by a burrowing animal, as other samples from Unit 1 are medieval in age (R26: 1028-1171, R29: 1669-1859). Sample R18 was a late 1990’s vintage plastic candy wrapper, so is assumed to be from AD 1995 ± </w:t>
      </w:r>
      <w:proofErr w:type="gramStart"/>
      <w:r w:rsidRPr="00853CD5">
        <w:rPr>
          <w:sz w:val="24"/>
          <w:szCs w:val="24"/>
        </w:rPr>
        <w:t>5, and</w:t>
      </w:r>
      <w:proofErr w:type="gramEnd"/>
      <w:r w:rsidRPr="00853CD5">
        <w:rPr>
          <w:sz w:val="24"/>
          <w:szCs w:val="24"/>
        </w:rPr>
        <w:t xml:space="preserve"> is used as an upper limit of the stratigraphic model. The remaining ages were placed into a sequence model and calibrated using </w:t>
      </w:r>
      <w:proofErr w:type="spellStart"/>
      <w:r w:rsidRPr="00853CD5">
        <w:rPr>
          <w:sz w:val="24"/>
          <w:szCs w:val="24"/>
        </w:rPr>
        <w:t>OxCal</w:t>
      </w:r>
      <w:proofErr w:type="spellEnd"/>
      <w:r w:rsidRPr="00853CD5">
        <w:rPr>
          <w:sz w:val="24"/>
          <w:szCs w:val="24"/>
        </w:rPr>
        <w:t xml:space="preserve"> v4.4 (</w:t>
      </w:r>
      <w:proofErr w:type="spellStart"/>
      <w:r w:rsidRPr="00853CD5">
        <w:rPr>
          <w:sz w:val="24"/>
          <w:szCs w:val="24"/>
        </w:rPr>
        <w:t>Bronk</w:t>
      </w:r>
      <w:proofErr w:type="spellEnd"/>
      <w:r w:rsidRPr="00853CD5">
        <w:rPr>
          <w:sz w:val="24"/>
          <w:szCs w:val="24"/>
        </w:rPr>
        <w:t xml:space="preserve"> Ramsey, 1995) (</w:t>
      </w:r>
      <w:r w:rsidRPr="00853CD5">
        <w:rPr>
          <w:b/>
          <w:sz w:val="24"/>
          <w:szCs w:val="24"/>
        </w:rPr>
        <w:t>Figure 6</w:t>
      </w:r>
      <w:r w:rsidRPr="00853CD5">
        <w:rPr>
          <w:sz w:val="24"/>
          <w:szCs w:val="24"/>
        </w:rPr>
        <w:t xml:space="preserve">). The result of this model places limits on the timing of the two surface rupturing events: E1 occurred from AD 1713-1895, and E2 occurred from AD 1872-2003 (95.4% confidence intervals). </w:t>
      </w:r>
    </w:p>
    <w:p w14:paraId="354EE930" w14:textId="77777777" w:rsidR="00853CD5" w:rsidRPr="00853CD5" w:rsidRDefault="00853CD5" w:rsidP="00853CD5">
      <w:pPr>
        <w:rPr>
          <w:sz w:val="24"/>
          <w:szCs w:val="24"/>
        </w:rPr>
      </w:pPr>
      <w:r w:rsidRPr="00853CD5">
        <w:rPr>
          <w:noProof/>
          <w:sz w:val="24"/>
          <w:szCs w:val="24"/>
        </w:rPr>
        <w:lastRenderedPageBreak/>
        <w:drawing>
          <wp:inline distT="114300" distB="114300" distL="114300" distR="114300" wp14:anchorId="5E8E2A61" wp14:editId="0EFCA7C7">
            <wp:extent cx="5049859" cy="5462588"/>
            <wp:effectExtent l="0" t="0" r="0" b="0"/>
            <wp:docPr id="7" name="image4.jpg" descr="Graphical user interface&#10;&#10;Description automatically generated"/>
            <wp:cNvGraphicFramePr/>
            <a:graphic xmlns:a="http://schemas.openxmlformats.org/drawingml/2006/main">
              <a:graphicData uri="http://schemas.openxmlformats.org/drawingml/2006/picture">
                <pic:pic xmlns:pic="http://schemas.openxmlformats.org/drawingml/2006/picture">
                  <pic:nvPicPr>
                    <pic:cNvPr id="7" name="image4.jpg" descr="Graphical user interface&#10;&#10;Description automatically generated"/>
                    <pic:cNvPicPr preferRelativeResize="0"/>
                  </pic:nvPicPr>
                  <pic:blipFill>
                    <a:blip r:embed="rId16"/>
                    <a:srcRect/>
                    <a:stretch>
                      <a:fillRect/>
                    </a:stretch>
                  </pic:blipFill>
                  <pic:spPr>
                    <a:xfrm>
                      <a:off x="0" y="0"/>
                      <a:ext cx="5049859" cy="5462588"/>
                    </a:xfrm>
                    <a:prstGeom prst="rect">
                      <a:avLst/>
                    </a:prstGeom>
                    <a:ln/>
                  </pic:spPr>
                </pic:pic>
              </a:graphicData>
            </a:graphic>
          </wp:inline>
        </w:drawing>
      </w:r>
    </w:p>
    <w:p w14:paraId="0C91A18E" w14:textId="2F54AD6E" w:rsidR="00E65594" w:rsidRPr="00853CD5" w:rsidRDefault="00853CD5" w:rsidP="00853CD5">
      <w:pPr>
        <w:jc w:val="both"/>
        <w:rPr>
          <w:sz w:val="24"/>
          <w:szCs w:val="24"/>
        </w:rPr>
      </w:pPr>
      <w:r w:rsidRPr="00853CD5">
        <w:rPr>
          <w:b/>
          <w:sz w:val="24"/>
          <w:szCs w:val="24"/>
        </w:rPr>
        <w:t>Figure 6</w:t>
      </w:r>
      <w:r w:rsidRPr="00853CD5">
        <w:rPr>
          <w:sz w:val="24"/>
          <w:szCs w:val="24"/>
        </w:rPr>
        <w:t xml:space="preserve">. </w:t>
      </w:r>
      <w:proofErr w:type="spellStart"/>
      <w:r w:rsidRPr="00853CD5">
        <w:rPr>
          <w:sz w:val="24"/>
          <w:szCs w:val="24"/>
        </w:rPr>
        <w:t>OxCal</w:t>
      </w:r>
      <w:proofErr w:type="spellEnd"/>
      <w:r w:rsidRPr="00853CD5">
        <w:rPr>
          <w:sz w:val="24"/>
          <w:szCs w:val="24"/>
        </w:rPr>
        <w:t xml:space="preserve"> model of radiocarbon samples and event ages. The timing of the 1668 and 1902 historical earthquakes are plotted for reference. Event horizons for E1 and E2 are AD 1713-1895 and AD 1872-2003, respectively.</w:t>
      </w:r>
    </w:p>
    <w:p w14:paraId="49EF8DF1" w14:textId="77777777" w:rsidR="00E65594" w:rsidRPr="00853CD5" w:rsidRDefault="00E65594" w:rsidP="00853CD5">
      <w:pPr>
        <w:pStyle w:val="Heading-Secondary"/>
      </w:pPr>
      <w:r w:rsidRPr="00853CD5">
        <w:t>3.3 Slip Rate Measurement</w:t>
      </w:r>
    </w:p>
    <w:p w14:paraId="062529BA" w14:textId="0B58BEB4" w:rsidR="00E65594" w:rsidRDefault="00E65594" w:rsidP="00E65594">
      <w:pPr>
        <w:ind w:firstLine="720"/>
        <w:jc w:val="both"/>
        <w:rPr>
          <w:sz w:val="24"/>
          <w:szCs w:val="24"/>
        </w:rPr>
      </w:pPr>
      <w:r w:rsidRPr="00853CD5">
        <w:rPr>
          <w:sz w:val="24"/>
          <w:szCs w:val="24"/>
        </w:rPr>
        <w:t xml:space="preserve">West of </w:t>
      </w:r>
      <w:proofErr w:type="spellStart"/>
      <w:r w:rsidRPr="00853CD5">
        <w:rPr>
          <w:sz w:val="24"/>
          <w:szCs w:val="24"/>
        </w:rPr>
        <w:t>Agsu</w:t>
      </w:r>
      <w:proofErr w:type="spellEnd"/>
      <w:r w:rsidRPr="00853CD5">
        <w:rPr>
          <w:sz w:val="24"/>
          <w:szCs w:val="24"/>
        </w:rPr>
        <w:t xml:space="preserve"> in the foreland is the </w:t>
      </w:r>
      <w:proofErr w:type="spellStart"/>
      <w:r w:rsidRPr="00853CD5">
        <w:rPr>
          <w:sz w:val="24"/>
          <w:szCs w:val="24"/>
        </w:rPr>
        <w:t>Garamӓyӓn</w:t>
      </w:r>
      <w:proofErr w:type="spellEnd"/>
      <w:r w:rsidRPr="00853CD5">
        <w:rPr>
          <w:sz w:val="24"/>
          <w:szCs w:val="24"/>
        </w:rPr>
        <w:t xml:space="preserve"> ridge, a prominent pair of west-northwest-striking active folds are cut by a series of water gaps (Forte et al., 2013). In one of these water gaps (“Gap 2” of Forte et al., 2013) is an inset strath terrace that sits ~20 m above the modern stream. The southern margin of this terrace is abruptly truncated by an active fault and shows a sharp anticline close to the head of the fault scarp. In a cliff exposure cut for an irrigation canal we found a strath of subhorizontal fluvial cobbles capping sub-vertical sand and gravel beds</w:t>
      </w:r>
      <w:r w:rsidRPr="00853CD5">
        <w:rPr>
          <w:b/>
          <w:sz w:val="24"/>
          <w:szCs w:val="24"/>
        </w:rPr>
        <w:t xml:space="preserve"> (Figure 7</w:t>
      </w:r>
      <w:r w:rsidRPr="00853CD5">
        <w:rPr>
          <w:sz w:val="24"/>
          <w:szCs w:val="24"/>
        </w:rPr>
        <w:t xml:space="preserve">). The radiocarbon age dating of a single gastropod shell (WG1, </w:t>
      </w:r>
      <w:r w:rsidRPr="00853CD5">
        <w:rPr>
          <w:b/>
          <w:sz w:val="24"/>
          <w:szCs w:val="24"/>
        </w:rPr>
        <w:t>Table 1</w:t>
      </w:r>
      <w:r w:rsidRPr="00853CD5">
        <w:rPr>
          <w:sz w:val="24"/>
          <w:szCs w:val="24"/>
        </w:rPr>
        <w:t xml:space="preserve">) sampled from within these horizontal sediments allows for calculation of a vertical uplift rate for this fault </w:t>
      </w:r>
      <w:r w:rsidRPr="00853CD5">
        <w:rPr>
          <w:sz w:val="24"/>
          <w:szCs w:val="24"/>
        </w:rPr>
        <w:fldChar w:fldCharType="begin"/>
      </w:r>
      <w:r w:rsidRPr="00853CD5">
        <w:rPr>
          <w:sz w:val="24"/>
          <w:szCs w:val="24"/>
        </w:rPr>
        <w:instrText xml:space="preserve"> ADDIN ZOTERO_ITEM CSL_CITATION {"citationID":"wxpDQJq7","properties":{"formattedCitation":"(Pigati et al., 2010)","plainCitation":"(Pigati et al., 2010)","noteIndex":0},"citationItems":[{"id":3237,"uris":["http://zotero.org/users/1958668/items/SUIEY6WV"],"itemData":{"id":3237,"type":"article-journal","abstract":"Fossil shells of small terrestrial gastropods are commonly preserved in wetland, alluvial, loess, and glacial deposits, as well as in sediments at many archeological sites. These shells are composed largely of aragonite (CaCO3) and potentially could be used for radiocarbon dating, but they must meet two criteria before their 14C ages can be considered to be reliable: (1) when gastropods are alive, the 14C activity of their shells must be in equilibrium with the 14C activity of the atmosphere, and (2) after burial, their shells must behave as closed systems with respect to carbon. To evaluate the first criterion, we conducted a comprehensive examination of the 14C content of the most common small terrestrial gastropods in North America, including 247 AMS measurements of modern shell material (3749 individual shells) from 46 different species. The modern gastropods that we analyzed were all collected from habitats on carbonate terrain and, therefore, the data presented here represent worst-case scenarios. In sum, </w:instrText>
      </w:r>
      <w:r w:rsidRPr="00853CD5">
        <w:rPr>
          <w:rFonts w:ascii="Cambria Math" w:hAnsi="Cambria Math" w:cs="Cambria Math"/>
          <w:sz w:val="24"/>
          <w:szCs w:val="24"/>
        </w:rPr>
        <w:instrText>∼</w:instrText>
      </w:r>
      <w:r w:rsidRPr="00853CD5">
        <w:rPr>
          <w:sz w:val="24"/>
          <w:szCs w:val="24"/>
        </w:rPr>
        <w:instrText xml:space="preserve">78% of the shell aliquots that we analyzed did not contain dead carbon from limestone or other carbonate rocks even though it was readily available at all sites, 12% of the aliquots contained between 5 and 10% dead carbon, and a few (3% of the total) contained more than 10%. These results are significantly lower than the 20–30% dead carbon that has been reported previously for larger taxa living in carbonate terrain. For the second criterion, we report a case study from the American Midwest in which we analyzed fossil shells of small terrestrial gastropods (7 taxa; 18 AMS measurements; 173 individual shells) recovered from late-Pleistocene sediments. The fossil shells yielded 14C ages that were statistically indistinguishable from 14C ages of well-preserved plant macrofossils from the same stratum. Although just one site, these results suggest that small terrestrial gastropod shells may behave as closed systems with respect to carbon over geologic timescales. More work on this subject is needed, but if our case study site is representative of other sites, then fossil shells of some small terrestrial gastropods, including at least five common genera, Catinella, Columella, Discus, Gastrocopta, and Succinea, should yield reliable 14C ages, regardless of the local geologic substrate.","container-title":"Quaternary Geochronology","DOI":"10.1016/j.quageo.2010.01.001","ISSN":"1871-1014","issue":"5","journalAbbreviation":"Quaternary Geochronology","language":"en","page":"519-532","source":"ScienceDirect","title":"Radiocarbon dating of small terrestrial gastropod shells in North America","volume":"5","author":[{"family":"Pigati","given":"Jeffrey S."},{"family":"Rech","given":"Jason A."},{"family":"Nekola","given":"Jeffrey C."}],"issued":{"date-parts":[["2010",10,1]]}}}],"schema":"https://github.com/citation-style-language/schema/raw/master/csl-citation.json"} </w:instrText>
      </w:r>
      <w:r w:rsidRPr="00853CD5">
        <w:rPr>
          <w:sz w:val="24"/>
          <w:szCs w:val="24"/>
        </w:rPr>
        <w:fldChar w:fldCharType="separate"/>
      </w:r>
      <w:r w:rsidRPr="00853CD5">
        <w:rPr>
          <w:sz w:val="24"/>
          <w:szCs w:val="24"/>
        </w:rPr>
        <w:t>(</w:t>
      </w:r>
      <w:proofErr w:type="spellStart"/>
      <w:r w:rsidRPr="00853CD5">
        <w:rPr>
          <w:sz w:val="24"/>
          <w:szCs w:val="24"/>
        </w:rPr>
        <w:t>Pigati</w:t>
      </w:r>
      <w:proofErr w:type="spellEnd"/>
      <w:r w:rsidRPr="00853CD5">
        <w:rPr>
          <w:sz w:val="24"/>
          <w:szCs w:val="24"/>
        </w:rPr>
        <w:t xml:space="preserve"> et al., 2010)</w:t>
      </w:r>
      <w:r w:rsidRPr="00853CD5">
        <w:rPr>
          <w:sz w:val="24"/>
          <w:szCs w:val="24"/>
        </w:rPr>
        <w:fldChar w:fldCharType="end"/>
      </w:r>
      <w:r w:rsidRPr="00853CD5">
        <w:rPr>
          <w:sz w:val="24"/>
          <w:szCs w:val="24"/>
        </w:rPr>
        <w:t xml:space="preserve">. The </w:t>
      </w:r>
      <w:proofErr w:type="spellStart"/>
      <w:r w:rsidRPr="00853CD5">
        <w:rPr>
          <w:sz w:val="24"/>
          <w:szCs w:val="24"/>
        </w:rPr>
        <w:t>OxCal</w:t>
      </w:r>
      <w:proofErr w:type="spellEnd"/>
      <w:r w:rsidRPr="00853CD5">
        <w:rPr>
          <w:sz w:val="24"/>
          <w:szCs w:val="24"/>
        </w:rPr>
        <w:t xml:space="preserve"> calibrated age of the shell is 6975-6791 </w:t>
      </w:r>
      <w:proofErr w:type="spellStart"/>
      <w:r w:rsidRPr="00853CD5">
        <w:rPr>
          <w:sz w:val="24"/>
          <w:szCs w:val="24"/>
        </w:rPr>
        <w:t>cal</w:t>
      </w:r>
      <w:proofErr w:type="spellEnd"/>
      <w:r w:rsidRPr="00853CD5">
        <w:rPr>
          <w:sz w:val="24"/>
          <w:szCs w:val="24"/>
        </w:rPr>
        <w:t xml:space="preserve"> BP. As shells can contain significant inherited carbon, this should </w:t>
      </w:r>
      <w:proofErr w:type="gramStart"/>
      <w:r w:rsidRPr="00853CD5">
        <w:rPr>
          <w:sz w:val="24"/>
          <w:szCs w:val="24"/>
        </w:rPr>
        <w:t>be considered to be</w:t>
      </w:r>
      <w:proofErr w:type="gramEnd"/>
      <w:r w:rsidRPr="00853CD5">
        <w:rPr>
          <w:sz w:val="24"/>
          <w:szCs w:val="24"/>
        </w:rPr>
        <w:t xml:space="preserve"> the oldest possible age of the deposit. Dividing </w:t>
      </w:r>
      <w:r w:rsidRPr="00853CD5">
        <w:rPr>
          <w:sz w:val="24"/>
          <w:szCs w:val="24"/>
        </w:rPr>
        <w:lastRenderedPageBreak/>
        <w:t>the 20 m uplift of the terrace (</w:t>
      </w:r>
      <w:r w:rsidRPr="00853CD5">
        <w:rPr>
          <w:b/>
          <w:sz w:val="24"/>
          <w:szCs w:val="24"/>
        </w:rPr>
        <w:t>Figure 7B</w:t>
      </w:r>
      <w:r w:rsidRPr="00853CD5">
        <w:rPr>
          <w:sz w:val="24"/>
          <w:szCs w:val="24"/>
        </w:rPr>
        <w:t xml:space="preserve">) by this age results in an average vertical uplift rate of 2.9 mm/yr. </w:t>
      </w:r>
    </w:p>
    <w:p w14:paraId="6698A933" w14:textId="77777777" w:rsidR="00853CD5" w:rsidRPr="00853CD5" w:rsidRDefault="00853CD5" w:rsidP="00853CD5">
      <w:pPr>
        <w:jc w:val="both"/>
        <w:rPr>
          <w:sz w:val="24"/>
          <w:szCs w:val="24"/>
        </w:rPr>
      </w:pPr>
    </w:p>
    <w:p w14:paraId="39471C43" w14:textId="77777777" w:rsidR="00853CD5" w:rsidRPr="00853CD5" w:rsidRDefault="00853CD5" w:rsidP="00853CD5">
      <w:pPr>
        <w:rPr>
          <w:sz w:val="24"/>
          <w:szCs w:val="24"/>
        </w:rPr>
      </w:pPr>
      <w:r w:rsidRPr="00853CD5">
        <w:rPr>
          <w:noProof/>
          <w:sz w:val="24"/>
          <w:szCs w:val="24"/>
        </w:rPr>
        <w:drawing>
          <wp:inline distT="114300" distB="114300" distL="114300" distR="114300" wp14:anchorId="35AEFB85" wp14:editId="14F3F5F6">
            <wp:extent cx="5943600" cy="5981700"/>
            <wp:effectExtent l="0" t="0" r="0" b="0"/>
            <wp:docPr id="6" name="image7.jpg" descr="Map&#10;&#10;Description automatically generated"/>
            <wp:cNvGraphicFramePr/>
            <a:graphic xmlns:a="http://schemas.openxmlformats.org/drawingml/2006/main">
              <a:graphicData uri="http://schemas.openxmlformats.org/drawingml/2006/picture">
                <pic:pic xmlns:pic="http://schemas.openxmlformats.org/drawingml/2006/picture">
                  <pic:nvPicPr>
                    <pic:cNvPr id="6" name="image7.jpg" descr="Map&#10;&#10;Description automatically generated"/>
                    <pic:cNvPicPr preferRelativeResize="0"/>
                  </pic:nvPicPr>
                  <pic:blipFill>
                    <a:blip r:embed="rId17"/>
                    <a:srcRect/>
                    <a:stretch>
                      <a:fillRect/>
                    </a:stretch>
                  </pic:blipFill>
                  <pic:spPr>
                    <a:xfrm>
                      <a:off x="0" y="0"/>
                      <a:ext cx="5943600" cy="5981700"/>
                    </a:xfrm>
                    <a:prstGeom prst="rect">
                      <a:avLst/>
                    </a:prstGeom>
                    <a:ln/>
                  </pic:spPr>
                </pic:pic>
              </a:graphicData>
            </a:graphic>
          </wp:inline>
        </w:drawing>
      </w:r>
    </w:p>
    <w:p w14:paraId="5ABE6982" w14:textId="78141678" w:rsidR="00E65594" w:rsidRPr="00853CD5" w:rsidRDefault="00853CD5" w:rsidP="00853CD5">
      <w:pPr>
        <w:ind w:firstLine="720"/>
        <w:jc w:val="both"/>
        <w:rPr>
          <w:sz w:val="24"/>
          <w:szCs w:val="24"/>
        </w:rPr>
      </w:pPr>
      <w:r w:rsidRPr="00853CD5">
        <w:rPr>
          <w:b/>
          <w:sz w:val="24"/>
          <w:szCs w:val="24"/>
        </w:rPr>
        <w:t>Figure 7</w:t>
      </w:r>
      <w:r w:rsidRPr="00853CD5">
        <w:rPr>
          <w:sz w:val="24"/>
          <w:szCs w:val="24"/>
        </w:rPr>
        <w:t xml:space="preserve">. </w:t>
      </w:r>
      <w:proofErr w:type="spellStart"/>
      <w:r w:rsidRPr="00853CD5">
        <w:rPr>
          <w:sz w:val="24"/>
          <w:szCs w:val="24"/>
        </w:rPr>
        <w:t>Hillshade</w:t>
      </w:r>
      <w:proofErr w:type="spellEnd"/>
      <w:r w:rsidRPr="00853CD5">
        <w:rPr>
          <w:sz w:val="24"/>
          <w:szCs w:val="24"/>
        </w:rPr>
        <w:t xml:space="preserve"> image of photogrammetry-derived DEM (A) showing the uplifted strath terrace inset to the </w:t>
      </w:r>
      <w:proofErr w:type="spellStart"/>
      <w:r w:rsidRPr="00853CD5">
        <w:rPr>
          <w:sz w:val="24"/>
          <w:szCs w:val="24"/>
        </w:rPr>
        <w:t>watergap</w:t>
      </w:r>
      <w:proofErr w:type="spellEnd"/>
      <w:r w:rsidRPr="00853CD5">
        <w:rPr>
          <w:sz w:val="24"/>
          <w:szCs w:val="24"/>
        </w:rPr>
        <w:t>. Profile A-A’ shown in (B) shows 20 m of uplift. A gastropod shell (inset) was sampled from subhorizontal fluvial cobbles in an exposure of the strath (C). Oblique aerial photograph of the terrace (D).</w:t>
      </w:r>
      <w:r>
        <w:t xml:space="preserve">   </w:t>
      </w:r>
    </w:p>
    <w:p w14:paraId="55E28F1F" w14:textId="163A1CF1" w:rsidR="00E65594" w:rsidRPr="00853CD5" w:rsidRDefault="00853CD5" w:rsidP="00853CD5">
      <w:pPr>
        <w:pStyle w:val="Heading-AGU"/>
      </w:pPr>
      <w:r w:rsidRPr="00853CD5">
        <w:lastRenderedPageBreak/>
        <w:t xml:space="preserve">4 </w:t>
      </w:r>
      <w:r w:rsidR="00E65594" w:rsidRPr="00853CD5">
        <w:t>Discussion</w:t>
      </w:r>
    </w:p>
    <w:p w14:paraId="6F996B81" w14:textId="77777777" w:rsidR="00E65594" w:rsidRPr="00853CD5" w:rsidRDefault="00E65594" w:rsidP="00853CD5">
      <w:pPr>
        <w:pStyle w:val="Heading-Secondary"/>
      </w:pPr>
      <w:r w:rsidRPr="00853CD5">
        <w:t>4.1 Distribution of Slip in the foreland of the Greater Caucasus</w:t>
      </w:r>
    </w:p>
    <w:p w14:paraId="79BDEF0E" w14:textId="7F03B234" w:rsidR="00E65594" w:rsidRPr="00853CD5" w:rsidRDefault="00E65594" w:rsidP="003647B7">
      <w:pPr>
        <w:ind w:firstLine="720"/>
        <w:jc w:val="both"/>
        <w:rPr>
          <w:sz w:val="24"/>
          <w:szCs w:val="24"/>
        </w:rPr>
      </w:pPr>
      <w:r w:rsidRPr="00853CD5">
        <w:rPr>
          <w:sz w:val="24"/>
          <w:szCs w:val="24"/>
        </w:rPr>
        <w:t>Converting our 2.9 mm/</w:t>
      </w:r>
      <w:proofErr w:type="spellStart"/>
      <w:r w:rsidRPr="00853CD5">
        <w:rPr>
          <w:sz w:val="24"/>
          <w:szCs w:val="24"/>
        </w:rPr>
        <w:t>yr</w:t>
      </w:r>
      <w:proofErr w:type="spellEnd"/>
      <w:r w:rsidRPr="00853CD5">
        <w:rPr>
          <w:sz w:val="24"/>
          <w:szCs w:val="24"/>
        </w:rPr>
        <w:t xml:space="preserve"> uplift rate at the water gap site (</w:t>
      </w:r>
      <w:r w:rsidRPr="00853CD5">
        <w:rPr>
          <w:b/>
          <w:sz w:val="24"/>
          <w:szCs w:val="24"/>
        </w:rPr>
        <w:t>Figure 7</w:t>
      </w:r>
      <w:r w:rsidRPr="00853CD5">
        <w:rPr>
          <w:sz w:val="24"/>
          <w:szCs w:val="24"/>
        </w:rPr>
        <w:t xml:space="preserve">) to dip-slip and shortening- rates requires an assumption of subsurface structural geometry. Forte et al. (2013) model the </w:t>
      </w:r>
      <w:proofErr w:type="spellStart"/>
      <w:r w:rsidRPr="00853CD5">
        <w:rPr>
          <w:sz w:val="24"/>
          <w:szCs w:val="24"/>
        </w:rPr>
        <w:t>Garamӓyӓn</w:t>
      </w:r>
      <w:proofErr w:type="spellEnd"/>
      <w:r w:rsidRPr="00853CD5">
        <w:rPr>
          <w:sz w:val="24"/>
          <w:szCs w:val="24"/>
        </w:rPr>
        <w:t xml:space="preserve"> ridge anticline as a blind fault-propagation fold controlled by a 20° northeast dipping thrust fault that has accommodated 5.6 km of shortening. Our field investigations revealed the presence of surficial fault scarps demonstrating that this fault is not blind. If we assume this 20° dipping thrust fault geometry, and that folding is minimal over the relatively short ~7 </w:t>
      </w:r>
      <w:proofErr w:type="spellStart"/>
      <w:r w:rsidRPr="00853CD5">
        <w:rPr>
          <w:sz w:val="24"/>
          <w:szCs w:val="24"/>
        </w:rPr>
        <w:t>kyr</w:t>
      </w:r>
      <w:proofErr w:type="spellEnd"/>
      <w:r w:rsidRPr="00853CD5">
        <w:rPr>
          <w:sz w:val="24"/>
          <w:szCs w:val="24"/>
        </w:rPr>
        <w:t xml:space="preserve"> timescale, then 2.9 mm/</w:t>
      </w:r>
      <w:proofErr w:type="spellStart"/>
      <w:r w:rsidRPr="00853CD5">
        <w:rPr>
          <w:sz w:val="24"/>
          <w:szCs w:val="24"/>
        </w:rPr>
        <w:t>yr</w:t>
      </w:r>
      <w:proofErr w:type="spellEnd"/>
      <w:r w:rsidRPr="00853CD5">
        <w:rPr>
          <w:sz w:val="24"/>
          <w:szCs w:val="24"/>
        </w:rPr>
        <w:t xml:space="preserve"> of uplift corresponds to 8.0 mm/</w:t>
      </w:r>
      <w:proofErr w:type="spellStart"/>
      <w:r w:rsidRPr="00853CD5">
        <w:rPr>
          <w:sz w:val="24"/>
          <w:szCs w:val="24"/>
        </w:rPr>
        <w:t>yr</w:t>
      </w:r>
      <w:proofErr w:type="spellEnd"/>
      <w:r w:rsidRPr="00853CD5">
        <w:rPr>
          <w:sz w:val="24"/>
          <w:szCs w:val="24"/>
        </w:rPr>
        <w:t xml:space="preserve"> of shortening and a dip-slip rate of 8.5 mm/yr. These rates are in-line with the prior structural and geodetic estimates across the Kura fold-thrust belt </w:t>
      </w:r>
      <w:r w:rsidRPr="00853CD5">
        <w:rPr>
          <w:sz w:val="24"/>
          <w:szCs w:val="24"/>
        </w:rPr>
        <w:fldChar w:fldCharType="begin"/>
      </w:r>
      <w:r w:rsidRPr="00853CD5">
        <w:rPr>
          <w:sz w:val="24"/>
          <w:szCs w:val="24"/>
        </w:rPr>
        <w:instrText xml:space="preserve"> ADDIN ZOTERO_ITEM CSL_CITATION {"citationID":"jlSOVeer","properties":{"formattedCitation":"(Forte et al., 2013; Kadirov et al., 2012)","plainCitation":"(Forte et al., 2013; Kadirov et al., 2012)","noteIndex":0},"citationItems":[{"id":855,"uris":["http://zotero.org/users/1958668/items/TSBZ9Q43"],"itemData":{"id":855,"type":"article-journal","abstract":"AbstractThe Greater Caucasus are the northernmost extent of the Arabia-Eurasia collision and are thought to represent the main locus of shortening within the central portion of the collision zone between 40° and 48°E. Recent work suggests that in detail, since the Plio-Pleistocene, much of the shortening in the eastern portion of the Caucasus system has been focused within the Kura fold-thrust belt along the southeastern margin of the Greater Caucasus. Here we present new field mapping and stratigraphic investigations of the eastern termination of the Kura fold-thrust belt in Azerbaijan to better constrain the structural geometries, magnitude of shortening, and initiation age for this portion of the fold-thrust belt. Our work suggests that this area of the fold-thrust belt exhibits significant along-strike variations in structural style and evolution and can effectively be divided into two distinct domains at 48°E. The western domain is characterized by a subcritical median surface slope and isolated folds and thrusts propagating out of sequence, whereas the eastern domain is dominated by a single duplex structure and a history of in-sequence development in a critically tapered wedge. We hypothesize that these variations result from changes in relative rates of syn-tectonic sedimentation, erosion, and convergence velocity along strike. We find that within the western domain, the fold-thrust belt has accommodated 12 km of total shortening. An unconformity within the western domain brackets the initiation age of this portion of the fold-thrust belt to between 1.8 and 0.88 Ma yielding permissible average shortening rates of between 6.7 and 13.6 mm/yr. Comparison of these average shortening rates to the geodetically measured shortening rate of 8 mm/yr indicates that since initiation, the fold-thrust belt has accommodated 83–100% of convergence between the Greater and Lesser Caucasus at this longitude.","container-title":"Tectonics","DOI":"10.1002/tect.20032","ISSN":"1944-9194","issue":"3","language":"en","license":"©2013. American Geophysical Union. All Rights Reserved.","page":"688-717","source":"Wiley Online Library","title":"Structural geometries and magnitude of shortening in the eastern Kura fold-thrust belt, Azerbaijan: Implications for the development of the Greater Caucasus Mountains","title-short":"Structural geometries and magnitude of shortening in the eastern Kura fold-thrust belt, Azerbaijan","volume":"32","author":[{"family":"Forte","given":"Adam M."},{"family":"Cowgill","given":"Eric"},{"family":"Murtuzayev","given":"Ibrahim"},{"family":"Kangarli","given":"Talat"},{"family":"Stoica","given":"Marius"}],"issued":{"date-parts":[["2013"]]}}},{"id":883,"uris":["http://zotero.org/users/1958668/items/NY3TMKAC"],"itemData":{"id":883,"type":"article-journal","abstract":"The potential for large, shallow earthquakes and their associated seismic hazard in the eastern Caucasus, an area of dense population and sensitive industrial infrastructure, remains speculative based on historical precedent and current geologic and seismologic observations. Here we present updated and expanded results from a GPS network between the northern edge of the Lesser Caucasus and Greater Caucasus, providing geodetic constraints to the problem. A signiﬁcant strain rate is observed in a proﬁle over a distance of about 150 km across the Kura Basin. We attribute this to inter-seismic strain accumulation on buried fault structures and present simple elastic dislocation models for their plausible geometry and slip rate based on the known geology, seismicity and the GPS velocities. Due to the close proximity of the strain anomaly to Baku, further observations are needed to determine whether observed contraction is due to inter-seismically locked faults and, if so, implications for the seismic hazard in the region.","container-title":"Natural Hazards","DOI":"10.1007/s11069-012-0199-0","ISSN":"0921-030X, 1573-0840","issue":"2","journalAbbreviation":"Nat Hazards","language":"en","page":"997-1006","source":"DOI.org (Crossref)","title":"Kinematics of the eastern Caucasus near Baku, Azerbaijan","volume":"63","author":[{"family":"Kadirov","given":"Fakhraddin"},{"family":"Floyd","given":"Michael"},{"family":"Alizadeh","given":"Akif"},{"family":"Guliev","given":"Ibrahim"},{"family":"Reilinger","given":"Robert"},{"family":"Kuleli","given":"Sadi"},{"family":"King","given":"Robert"},{"family":"Nafi Toksoz","given":"M."}],"issued":{"date-parts":[["2012",9]]}}}],"schema":"https://github.com/citation-style-language/schema/raw/master/csl-citation.json"} </w:instrText>
      </w:r>
      <w:r w:rsidRPr="00853CD5">
        <w:rPr>
          <w:sz w:val="24"/>
          <w:szCs w:val="24"/>
        </w:rPr>
        <w:fldChar w:fldCharType="separate"/>
      </w:r>
      <w:r w:rsidRPr="00853CD5">
        <w:rPr>
          <w:sz w:val="24"/>
          <w:szCs w:val="24"/>
        </w:rPr>
        <w:t xml:space="preserve">(Forte et al., 2013; </w:t>
      </w:r>
      <w:proofErr w:type="spellStart"/>
      <w:r w:rsidRPr="00853CD5">
        <w:rPr>
          <w:sz w:val="24"/>
          <w:szCs w:val="24"/>
        </w:rPr>
        <w:t>Kadirov</w:t>
      </w:r>
      <w:proofErr w:type="spellEnd"/>
      <w:r w:rsidRPr="00853CD5">
        <w:rPr>
          <w:sz w:val="24"/>
          <w:szCs w:val="24"/>
        </w:rPr>
        <w:t xml:space="preserve"> et al., 2012)</w:t>
      </w:r>
      <w:r w:rsidRPr="00853CD5">
        <w:rPr>
          <w:sz w:val="24"/>
          <w:szCs w:val="24"/>
        </w:rPr>
        <w:fldChar w:fldCharType="end"/>
      </w:r>
      <w:r w:rsidRPr="00853CD5">
        <w:rPr>
          <w:sz w:val="24"/>
          <w:szCs w:val="24"/>
        </w:rPr>
        <w:t xml:space="preserve">. Unfortunately, due to the reliance of our calculations on a single age and the uncertainty of the near-surface fault geometry, the uncertainty of our rates is difficult to quantify. However, as this rate was determined from only one of the two main active parallel structures at this longitude (the other was trenched in this study), and this rate consumes nearly </w:t>
      </w:r>
      <w:proofErr w:type="gramStart"/>
      <w:r w:rsidRPr="00853CD5">
        <w:rPr>
          <w:sz w:val="24"/>
          <w:szCs w:val="24"/>
        </w:rPr>
        <w:t>all of</w:t>
      </w:r>
      <w:proofErr w:type="gramEnd"/>
      <w:r w:rsidRPr="00853CD5">
        <w:rPr>
          <w:sz w:val="24"/>
          <w:szCs w:val="24"/>
        </w:rPr>
        <w:t xml:space="preserve"> the budget of the prior estimates, we expect that this rate is an upper limit. Regardless, this result is consistent with that of Forte et al. (2013), which demonstrates that a significant portion (~80-100%) of both the post-1.5 Ma and present-day geodetic strain budget across the Greater Caucasus is accommodated by the Kura thrust belt. </w:t>
      </w:r>
    </w:p>
    <w:p w14:paraId="0688F416" w14:textId="77777777" w:rsidR="00E65594" w:rsidRPr="00853CD5" w:rsidRDefault="00E65594" w:rsidP="00853CD5">
      <w:pPr>
        <w:pStyle w:val="Heading-Secondary"/>
      </w:pPr>
      <w:r w:rsidRPr="00853CD5">
        <w:t>4.2 Historical Earthquakes</w:t>
      </w:r>
    </w:p>
    <w:p w14:paraId="4F08972E" w14:textId="77777777" w:rsidR="00E65594" w:rsidRPr="00853CD5" w:rsidRDefault="00E65594" w:rsidP="00E65594">
      <w:pPr>
        <w:spacing w:before="240" w:after="240"/>
        <w:jc w:val="both"/>
        <w:rPr>
          <w:sz w:val="24"/>
          <w:szCs w:val="24"/>
        </w:rPr>
      </w:pPr>
      <w:r w:rsidRPr="00853CD5">
        <w:rPr>
          <w:sz w:val="24"/>
          <w:szCs w:val="24"/>
        </w:rPr>
        <w:t xml:space="preserve">           While the Eastern Caucasus have not experienced any M&gt;7 earthquakes during the instrumental period </w:t>
      </w:r>
      <w:r w:rsidRPr="00853CD5">
        <w:rPr>
          <w:sz w:val="24"/>
          <w:szCs w:val="24"/>
        </w:rPr>
        <w:fldChar w:fldCharType="begin"/>
      </w:r>
      <w:r w:rsidRPr="00853CD5">
        <w:rPr>
          <w:sz w:val="24"/>
          <w:szCs w:val="24"/>
        </w:rPr>
        <w:instrText xml:space="preserve"> ADDIN ZOTERO_ITEM CSL_CITATION {"citationID":"VR0RDwVx","properties":{"formattedCitation":"(Telesca et al., 2018; Yetirmishli et al., 2021)","plainCitation":"(Telesca et al., 2018; Yetirmishli et al., 2021)","noteIndex":0},"citationItems":[{"id":3196,"uris":["http://zotero.org/users/1958668/items/I8UE8P5I"],"itemData":{"id":3196,"type":"article-journal","abstract":"The time variation of several statistical parameters describing the complex time dynamics of the seismicity of Azerbaijan from 2010 to 2016 is investigated. Besides the well-known Gutenberg–Richter b value and the coefficients of variation, two quantities, derived by the recent method of horizontal visibility graph are analysed, namely the mean connectivity degree, which depicts an innovative way to link seismic events, and the Kullback–Leibler divergence (KLD) that informs about the irreversibility of the seismic process. Our findings indicate the emergence of pre- and co-seismic patterns in the time variation of all the analysed parameters in relationship with the strongest events of the Azerbaijan seismic catalog. In particular, the typical increase–decrease behavior has been found in b before the occurrence of large shocks. Similarly, the coefficients of variation signals are statistically significant high value in the period when the largest events occur and in most cases even before they struck the area. The mean connectivity degree and the KLD show several anomalous values in association with the occurrence of large events, in agreement with the view of earthquakes as irreversible ruptures of the crust.","container-title":"Pure and Applied Geophysics","DOI":"10.1007/s00024-018-1945-3","ISSN":"1420-9136","issue":"12","journalAbbreviation":"Pure Appl. Geophys.","language":"en","page":"4225-4239","source":"Springer Link","title":"Joint Use of Seismological and Topological Statistical Methods for the Analysis of 2010–2016 Azerbaijan Seismicity","volume":"175","author":[{"family":"Telesca","given":"Luciano"},{"family":"Kadirov","given":"Fakhraddin"},{"family":"Yetirmishli","given":"Gurban"},{"family":"Safarov","given":"Rafig"},{"family":"Kazimova","given":"Sabina"}],"issued":{"date-parts":[["2018",12,1]]}}},{"id":3192,"uris":["http://zotero.org/users/1958668/items/YDF7S4GM"],"itemData":{"id":3192,"type":"article-journal","container-title":"Seismoprognosis Observations in the Territory of Azerbaijan","issue":"1","language":"en","page":"3-18","source":"Zotero","title":"Seismicity of the territory of Azerbaijan in 2019","volume":"19","author":[{"family":"Yetirmishli","given":"G. J."},{"family":"Ismayilova","given":"S. S."},{"family":"Kazimova","given":"S. E."}],"issued":{"date-parts":[["2021"]]}}}],"schema":"https://github.com/citation-style-language/schema/raw/master/csl-citation.json"} </w:instrText>
      </w:r>
      <w:r w:rsidRPr="00853CD5">
        <w:rPr>
          <w:sz w:val="24"/>
          <w:szCs w:val="24"/>
        </w:rPr>
        <w:fldChar w:fldCharType="separate"/>
      </w:r>
      <w:r w:rsidRPr="00853CD5">
        <w:rPr>
          <w:sz w:val="24"/>
          <w:szCs w:val="24"/>
        </w:rPr>
        <w:t>(</w:t>
      </w:r>
      <w:proofErr w:type="spellStart"/>
      <w:r w:rsidRPr="00853CD5">
        <w:rPr>
          <w:sz w:val="24"/>
          <w:szCs w:val="24"/>
        </w:rPr>
        <w:t>Telesca</w:t>
      </w:r>
      <w:proofErr w:type="spellEnd"/>
      <w:r w:rsidRPr="00853CD5">
        <w:rPr>
          <w:sz w:val="24"/>
          <w:szCs w:val="24"/>
        </w:rPr>
        <w:t xml:space="preserve"> et al., 2018; </w:t>
      </w:r>
      <w:proofErr w:type="spellStart"/>
      <w:r w:rsidRPr="00853CD5">
        <w:rPr>
          <w:sz w:val="24"/>
          <w:szCs w:val="24"/>
        </w:rPr>
        <w:t>Yetirmishli</w:t>
      </w:r>
      <w:proofErr w:type="spellEnd"/>
      <w:r w:rsidRPr="00853CD5">
        <w:rPr>
          <w:sz w:val="24"/>
          <w:szCs w:val="24"/>
        </w:rPr>
        <w:t xml:space="preserve"> et al., 2021)</w:t>
      </w:r>
      <w:r w:rsidRPr="00853CD5">
        <w:rPr>
          <w:sz w:val="24"/>
          <w:szCs w:val="24"/>
        </w:rPr>
        <w:fldChar w:fldCharType="end"/>
      </w:r>
      <w:r w:rsidRPr="00853CD5">
        <w:rPr>
          <w:sz w:val="24"/>
          <w:szCs w:val="24"/>
        </w:rPr>
        <w:t>, the region has experienced numerous pre-instrumental devastating earthquakes, the largest (M~7) occurring in AD 1139, 1668, and 1902 (Ismail-Zadeh, 2020). The widely felt 1668 and 1902 earthquakes both destroyed the medieval capital city of Shamakhi (</w:t>
      </w:r>
      <w:r w:rsidRPr="00853CD5">
        <w:rPr>
          <w:b/>
          <w:sz w:val="24"/>
          <w:szCs w:val="24"/>
        </w:rPr>
        <w:t>Figure 1</w:t>
      </w:r>
      <w:r w:rsidRPr="00853CD5">
        <w:rPr>
          <w:sz w:val="24"/>
          <w:szCs w:val="24"/>
        </w:rPr>
        <w:t xml:space="preserve">), while moderate (M~6) events in 1828, 1859, 1869, and 1872 caused severe damage to the city. </w:t>
      </w:r>
    </w:p>
    <w:p w14:paraId="179C997A" w14:textId="77777777" w:rsidR="00E65594" w:rsidRPr="00853CD5" w:rsidRDefault="00E65594" w:rsidP="00E65594">
      <w:pPr>
        <w:ind w:firstLine="720"/>
        <w:jc w:val="both"/>
        <w:rPr>
          <w:sz w:val="24"/>
          <w:szCs w:val="24"/>
        </w:rPr>
      </w:pPr>
      <w:r w:rsidRPr="00853CD5">
        <w:rPr>
          <w:sz w:val="24"/>
          <w:szCs w:val="24"/>
        </w:rPr>
        <w:t>The 1139 earthquake is reported to have destroyed the city of Ganja in the southwestern part of the Kura basin (</w:t>
      </w:r>
      <w:r w:rsidRPr="00853CD5">
        <w:rPr>
          <w:b/>
          <w:sz w:val="24"/>
          <w:szCs w:val="24"/>
        </w:rPr>
        <w:t>Figure 1a</w:t>
      </w:r>
      <w:r w:rsidRPr="00853CD5">
        <w:rPr>
          <w:sz w:val="24"/>
          <w:szCs w:val="24"/>
        </w:rPr>
        <w:t xml:space="preserve">). It is unclear whether this event is associated with the Kura fold-thrust belt, or if it occurred in the Lesser Caucasus. However, the AD 1139 earthquake is the earliest earthquake record from the Kura region, and as the region has been continuously inhabited since then, we assume that all significant large earthquakes since that time have been reported. </w:t>
      </w:r>
    </w:p>
    <w:p w14:paraId="6DB8A805" w14:textId="77777777" w:rsidR="00E65594" w:rsidRPr="00853CD5" w:rsidRDefault="00E65594" w:rsidP="00E65594">
      <w:pPr>
        <w:spacing w:before="240" w:after="240"/>
        <w:ind w:firstLine="720"/>
        <w:jc w:val="both"/>
        <w:rPr>
          <w:sz w:val="24"/>
          <w:szCs w:val="24"/>
        </w:rPr>
      </w:pPr>
      <w:r w:rsidRPr="00853CD5">
        <w:rPr>
          <w:sz w:val="24"/>
          <w:szCs w:val="24"/>
        </w:rPr>
        <w:t xml:space="preserve">A fair amount of detail can be gleaned about the 1668 Shamakhi earthquake from contemporary historical sources (reported dates range from 1667-1669). Some of the most widely cited accounts of the damage in Western studies come from European travelers passing through the region around this period. The well-known French traveler, John Tavernier, was in the region during the earthquake but only heard news of the event while in Tabriz. According to the account he received the entire city was demolished and only a handful of people survived </w:t>
      </w:r>
      <w:r w:rsidRPr="00853CD5">
        <w:rPr>
          <w:sz w:val="24"/>
          <w:szCs w:val="24"/>
        </w:rPr>
        <w:fldChar w:fldCharType="begin"/>
      </w:r>
      <w:r w:rsidRPr="00853CD5">
        <w:rPr>
          <w:sz w:val="24"/>
          <w:szCs w:val="24"/>
        </w:rPr>
        <w:instrText xml:space="preserve"> ADDIN ZOTERO_ITEM CSL_CITATION {"citationID":"mPe6aIM5","properties":{"formattedCitation":"(Tavernier, 1678)","plainCitation":"(Tavernier, 1678)","noteIndex":0},"citationItems":[{"id":3205,"uris":["http://zotero.org/users/1958668/items/T8HGFMDD"],"itemData":{"id":3205,"type":"book","event-place":"London","publisher":"John Philips","publisher-place":"London","title":"The Six Voyages of John Baptista Tavernier, a Noble Man of France Now Living, through Turky into Persia and the East-Indies, Finished in the Year 1670 : Giving an Account of the State of Those Countries : Illustrated with Divers Sculptures ; Together with a New Relation of the Present Grand Seignor’s Seraglio, by the Same Author","author":[{"family":"Tavernier","given":"Jean-Baptiste"}],"issued":{"date-parts":[["1678"]]}}}],"schema":"https://github.com/citation-style-language/schema/raw/master/csl-citation.json"} </w:instrText>
      </w:r>
      <w:r w:rsidRPr="00853CD5">
        <w:rPr>
          <w:sz w:val="24"/>
          <w:szCs w:val="24"/>
        </w:rPr>
        <w:fldChar w:fldCharType="separate"/>
      </w:r>
      <w:r w:rsidRPr="00853CD5">
        <w:rPr>
          <w:sz w:val="24"/>
          <w:szCs w:val="24"/>
        </w:rPr>
        <w:t>(Tavernier, 1678)</w:t>
      </w:r>
      <w:r w:rsidRPr="00853CD5">
        <w:rPr>
          <w:sz w:val="24"/>
          <w:szCs w:val="24"/>
        </w:rPr>
        <w:fldChar w:fldCharType="end"/>
      </w:r>
      <w:r w:rsidRPr="00853CD5">
        <w:rPr>
          <w:sz w:val="24"/>
          <w:szCs w:val="24"/>
        </w:rPr>
        <w:t xml:space="preserve">. Somewhat later, Cornelius de Bruijn (translated into English as “Cornelius le Brun") visited Shamakhi, and mentioned that the earthquake, which occurred thirty-five years before his travels in 1703, destroyed all of the city walls and major monuments including the congregational mosque </w:t>
      </w:r>
      <w:r w:rsidRPr="00853CD5">
        <w:rPr>
          <w:sz w:val="24"/>
          <w:szCs w:val="24"/>
        </w:rPr>
        <w:fldChar w:fldCharType="begin"/>
      </w:r>
      <w:r w:rsidRPr="00853CD5">
        <w:rPr>
          <w:sz w:val="24"/>
          <w:szCs w:val="24"/>
        </w:rPr>
        <w:instrText xml:space="preserve"> ADDIN ZOTERO_ITEM CSL_CITATION {"citationID":"5n646sGL","properties":{"formattedCitation":"(Le Brun, 1759)","plainCitation":"(Le Brun, 1759)","noteIndex":0},"citationItems":[{"id":3203,"uris":["http://zotero.org/users/1958668/items/7E2QLDG3"],"itemData":{"id":3203,"type":"book","event-place":"London","publisher":"J. Warcus","publisher-place":"London","title":"A New and More Correct Translation than Has Hitherto Appeared in Public of Mr. Cornelius Le Brun’s Travels into Moscovy, Persia, and Divers Parts of the East-Indies; Containing An Accurate Description of All Such Articles as Are Most Remarkable in Each of Those Different Countries, and Most Worthy the Attention of the Curious Reader. As Also Of Their Antiquities; but More Particularly Those Relating to the Famous Palace of Persepolis, Commonly Called Chelminar by the Persians: By a Gentleman of Oxford","author":[{"family":"Le Brun","given":"Cornelius"}],"issued":{"date-parts":[["1759"]]}}}],"schema":"https://github.com/citation-style-language/schema/raw/master/csl-citation.json"} </w:instrText>
      </w:r>
      <w:r w:rsidRPr="00853CD5">
        <w:rPr>
          <w:sz w:val="24"/>
          <w:szCs w:val="24"/>
        </w:rPr>
        <w:fldChar w:fldCharType="separate"/>
      </w:r>
      <w:r w:rsidRPr="00853CD5">
        <w:rPr>
          <w:sz w:val="24"/>
          <w:szCs w:val="24"/>
        </w:rPr>
        <w:t>(Le Brun, 1759)</w:t>
      </w:r>
      <w:r w:rsidRPr="00853CD5">
        <w:rPr>
          <w:sz w:val="24"/>
          <w:szCs w:val="24"/>
        </w:rPr>
        <w:fldChar w:fldCharType="end"/>
      </w:r>
      <w:r w:rsidRPr="00853CD5">
        <w:rPr>
          <w:sz w:val="24"/>
          <w:szCs w:val="24"/>
        </w:rPr>
        <w:t xml:space="preserve">. It would appear, however, that the administrative function of the city </w:t>
      </w:r>
      <w:proofErr w:type="gramStart"/>
      <w:r w:rsidRPr="00853CD5">
        <w:rPr>
          <w:sz w:val="24"/>
          <w:szCs w:val="24"/>
        </w:rPr>
        <w:t>remained</w:t>
      </w:r>
      <w:proofErr w:type="gramEnd"/>
      <w:r w:rsidRPr="00853CD5">
        <w:rPr>
          <w:sz w:val="24"/>
          <w:szCs w:val="24"/>
        </w:rPr>
        <w:t xml:space="preserve"> and he mentions smaller mosques and houses that he saw when visiting. The impact on the people was severe enough that a tremor during his visit (1703) saw people flee the city but there was </w:t>
      </w:r>
      <w:r w:rsidRPr="00853CD5">
        <w:rPr>
          <w:sz w:val="24"/>
          <w:szCs w:val="24"/>
        </w:rPr>
        <w:lastRenderedPageBreak/>
        <w:t>limited or no damage to structures. It is worth noting that de Bruijn’s dating places this event in 1668, a date accepted by Nikonov in his comprehensive review of the source materials for this earthquake, more specifically he estimates, on the 14</w:t>
      </w:r>
      <w:r w:rsidRPr="00853CD5">
        <w:rPr>
          <w:sz w:val="24"/>
          <w:szCs w:val="24"/>
          <w:vertAlign w:val="superscript"/>
        </w:rPr>
        <w:t>th</w:t>
      </w:r>
      <w:r w:rsidRPr="00853CD5">
        <w:rPr>
          <w:sz w:val="24"/>
          <w:szCs w:val="24"/>
        </w:rPr>
        <w:t xml:space="preserve"> January </w:t>
      </w:r>
      <w:r w:rsidRPr="00853CD5">
        <w:rPr>
          <w:sz w:val="24"/>
          <w:szCs w:val="24"/>
        </w:rPr>
        <w:fldChar w:fldCharType="begin"/>
      </w:r>
      <w:r w:rsidRPr="00853CD5">
        <w:rPr>
          <w:sz w:val="24"/>
          <w:szCs w:val="24"/>
        </w:rPr>
        <w:instrText xml:space="preserve"> ADDIN ZOTERO_ITEM CSL_CITATION {"citationID":"gGjKksHw","properties":{"formattedCitation":"(Nikonov, 1982)","plainCitation":"(Nikonov, 1982)","noteIndex":0},"citationItems":[{"id":3204,"uris":["http://zotero.org/users/1958668/items/X8C2CVYK"],"itemData":{"id":3204,"type":"article-journal","container-title":"Fisika Zemli","language":"Russian","page":"90-106","title":"Sil’neǐshee Zemletriasenie Bol’shogo Kavkaza 14 Ianvaria 1668 g.","volume":"9","author":[{"family":"Nikonov","given":"A. A."}],"issued":{"date-parts":[["1982"]]}}}],"schema":"https://github.com/citation-style-language/schema/raw/master/csl-citation.json"} </w:instrText>
      </w:r>
      <w:r w:rsidRPr="00853CD5">
        <w:rPr>
          <w:sz w:val="24"/>
          <w:szCs w:val="24"/>
        </w:rPr>
        <w:fldChar w:fldCharType="separate"/>
      </w:r>
      <w:r w:rsidRPr="00853CD5">
        <w:rPr>
          <w:sz w:val="24"/>
          <w:szCs w:val="24"/>
        </w:rPr>
        <w:t>(Nikonov, 1982)</w:t>
      </w:r>
      <w:r w:rsidRPr="00853CD5">
        <w:rPr>
          <w:sz w:val="24"/>
          <w:szCs w:val="24"/>
        </w:rPr>
        <w:fldChar w:fldCharType="end"/>
      </w:r>
      <w:r w:rsidRPr="00853CD5">
        <w:rPr>
          <w:sz w:val="24"/>
          <w:szCs w:val="24"/>
        </w:rPr>
        <w:t xml:space="preserve">. In his chronological table of events, he notes </w:t>
      </w:r>
      <w:proofErr w:type="gramStart"/>
      <w:r w:rsidRPr="00853CD5">
        <w:rPr>
          <w:sz w:val="24"/>
          <w:szCs w:val="24"/>
        </w:rPr>
        <w:t>a number of</w:t>
      </w:r>
      <w:proofErr w:type="gramEnd"/>
      <w:r w:rsidRPr="00853CD5">
        <w:rPr>
          <w:sz w:val="24"/>
          <w:szCs w:val="24"/>
        </w:rPr>
        <w:t xml:space="preserve"> aftershocks ranging from later in 1668, until early 1671. Specific impacts listed by Nikonov based on his assessment of all sources available to him include: destruction of the entire city, between 6,000-8,000 deceased, large numbers of collapsed individual buildings including the city walls and fortress, and landslides causing loss of life </w:t>
      </w:r>
      <w:r w:rsidRPr="00853CD5">
        <w:rPr>
          <w:sz w:val="24"/>
          <w:szCs w:val="24"/>
        </w:rPr>
        <w:fldChar w:fldCharType="begin"/>
      </w:r>
      <w:r w:rsidRPr="00853CD5">
        <w:rPr>
          <w:sz w:val="24"/>
          <w:szCs w:val="24"/>
        </w:rPr>
        <w:instrText xml:space="preserve"> ADDIN ZOTERO_ITEM CSL_CITATION {"citationID":"m5Ue5ZGU","properties":{"formattedCitation":"(Nikonov, 1982)","plainCitation":"(Nikonov, 1982)","noteIndex":0},"citationItems":[{"id":3204,"uris":["http://zotero.org/users/1958668/items/X8C2CVYK"],"itemData":{"id":3204,"type":"article-journal","container-title":"Fisika Zemli","language":"Russian","page":"90-106","title":"Sil’neǐshee Zemletriasenie Bol’shogo Kavkaza 14 Ianvaria 1668 g.","volume":"9","author":[{"family":"Nikonov","given":"A. A."}],"issued":{"date-parts":[["1982"]]}}}],"schema":"https://github.com/citation-style-language/schema/raw/master/csl-citation.json"} </w:instrText>
      </w:r>
      <w:r w:rsidRPr="00853CD5">
        <w:rPr>
          <w:sz w:val="24"/>
          <w:szCs w:val="24"/>
        </w:rPr>
        <w:fldChar w:fldCharType="separate"/>
      </w:r>
      <w:r w:rsidRPr="00853CD5">
        <w:rPr>
          <w:sz w:val="24"/>
          <w:szCs w:val="24"/>
        </w:rPr>
        <w:t>(Nikonov, 1982)</w:t>
      </w:r>
      <w:r w:rsidRPr="00853CD5">
        <w:rPr>
          <w:sz w:val="24"/>
          <w:szCs w:val="24"/>
        </w:rPr>
        <w:fldChar w:fldCharType="end"/>
      </w:r>
      <w:r w:rsidRPr="00853CD5">
        <w:rPr>
          <w:sz w:val="24"/>
          <w:szCs w:val="24"/>
        </w:rPr>
        <w:t xml:space="preserve">. Sources collated in this work detailing other settlements in the region mention impacts as far away as Baku (a collapsed wall of a palace), detection but no damage in </w:t>
      </w:r>
      <w:proofErr w:type="spellStart"/>
      <w:r w:rsidRPr="00853CD5">
        <w:rPr>
          <w:sz w:val="24"/>
          <w:szCs w:val="24"/>
        </w:rPr>
        <w:t>Derbent</w:t>
      </w:r>
      <w:proofErr w:type="spellEnd"/>
      <w:r w:rsidRPr="00853CD5">
        <w:rPr>
          <w:sz w:val="24"/>
          <w:szCs w:val="24"/>
        </w:rPr>
        <w:t xml:space="preserve">, and the event was apparently not felt in the more distant </w:t>
      </w:r>
      <w:proofErr w:type="gramStart"/>
      <w:r w:rsidRPr="00853CD5">
        <w:rPr>
          <w:sz w:val="24"/>
          <w:szCs w:val="24"/>
        </w:rPr>
        <w:t>heavily-populated</w:t>
      </w:r>
      <w:proofErr w:type="gramEnd"/>
      <w:r w:rsidRPr="00853CD5">
        <w:rPr>
          <w:sz w:val="24"/>
          <w:szCs w:val="24"/>
        </w:rPr>
        <w:t xml:space="preserve"> regions of Tbilisi or Yerevan. Based on the collective data, Nikonov assesses the area of highest impact of the earthquake as IX on the MSK-64 intensity scale in the region of Shamakhi.</w:t>
      </w:r>
    </w:p>
    <w:p w14:paraId="4C1D1327" w14:textId="6355041E" w:rsidR="00E65594" w:rsidRPr="00853CD5" w:rsidRDefault="00E65594" w:rsidP="003647B7">
      <w:pPr>
        <w:ind w:firstLine="720"/>
        <w:jc w:val="both"/>
        <w:rPr>
          <w:sz w:val="24"/>
          <w:szCs w:val="24"/>
        </w:rPr>
      </w:pPr>
      <w:r w:rsidRPr="00853CD5">
        <w:rPr>
          <w:sz w:val="24"/>
          <w:szCs w:val="24"/>
        </w:rPr>
        <w:t xml:space="preserve">The 1828 event destroyed 526 buildings across the region. The 1859 event killed 100 people, and destroyed 741 buildings, prompting the capital to be relocated from Shamakhi to Baku. The 1872 event killed 118 people and destroyed all but 20 buildings </w:t>
      </w:r>
      <w:r w:rsidRPr="00853CD5">
        <w:rPr>
          <w:sz w:val="24"/>
          <w:szCs w:val="24"/>
        </w:rPr>
        <w:fldChar w:fldCharType="begin"/>
      </w:r>
      <w:r w:rsidRPr="00853CD5">
        <w:rPr>
          <w:sz w:val="24"/>
          <w:szCs w:val="24"/>
        </w:rPr>
        <w:instrText xml:space="preserve"> ADDIN ZOTERO_ITEM CSL_CITATION {"citationID":"h4iGo1Ie","properties":{"formattedCitation":"(Shebalin et al., 1982)","plainCitation":"(Shebalin et al., 1982)","noteIndex":0},"citationItems":[{"id":3127,"uris":["http://zotero.org/users/1958668/items/XWQVLVY9"],"itemData":{"id":3127,"type":"book","collection-title":"Report SE ;31","event-place":"Boulder, Colo.","number-of-pages":"608","publisher":"World Data Center A for Solid Earth Geophysics","publisher-place":"Boulder, Colo.","source":"HathiTrust","title":"New catalog of strong earthquakes in the U.S.S.R. from ancient times through 1977","URL":"https://catalog.hathitrust.org/Record/002186768","author":[{"family":"Shebalin","given":"N. V."},{"family":"Kondorskai͡a","given":"N. V"},{"literal":"World Data Center A for Solid Earth Geophysics"}],"accessed":{"date-parts":[["2022",11,2]]},"issued":{"date-parts":[["1982"]]}}}],"schema":"https://github.com/citation-style-language/schema/raw/master/csl-citation.json"} </w:instrText>
      </w:r>
      <w:r w:rsidRPr="00853CD5">
        <w:rPr>
          <w:sz w:val="24"/>
          <w:szCs w:val="24"/>
        </w:rPr>
        <w:fldChar w:fldCharType="separate"/>
      </w:r>
      <w:r w:rsidRPr="00853CD5">
        <w:rPr>
          <w:sz w:val="24"/>
          <w:szCs w:val="24"/>
        </w:rPr>
        <w:t>(</w:t>
      </w:r>
      <w:proofErr w:type="spellStart"/>
      <w:r w:rsidRPr="00853CD5">
        <w:rPr>
          <w:sz w:val="24"/>
          <w:szCs w:val="24"/>
        </w:rPr>
        <w:t>Shebalin</w:t>
      </w:r>
      <w:proofErr w:type="spellEnd"/>
      <w:r w:rsidRPr="00853CD5">
        <w:rPr>
          <w:sz w:val="24"/>
          <w:szCs w:val="24"/>
        </w:rPr>
        <w:t xml:space="preserve"> et al., 1982)</w:t>
      </w:r>
      <w:r w:rsidRPr="00853CD5">
        <w:rPr>
          <w:sz w:val="24"/>
          <w:szCs w:val="24"/>
        </w:rPr>
        <w:fldChar w:fldCharType="end"/>
      </w:r>
      <w:r w:rsidRPr="00853CD5">
        <w:rPr>
          <w:sz w:val="24"/>
          <w:szCs w:val="24"/>
        </w:rPr>
        <w:t xml:space="preserve">. The 1902 event killed 2,000 people and destroyed 4,000 homes </w:t>
      </w:r>
      <w:r w:rsidRPr="00853CD5">
        <w:rPr>
          <w:sz w:val="24"/>
          <w:szCs w:val="24"/>
        </w:rPr>
        <w:fldChar w:fldCharType="begin"/>
      </w:r>
      <w:r w:rsidRPr="00853CD5">
        <w:rPr>
          <w:sz w:val="24"/>
          <w:szCs w:val="24"/>
        </w:rPr>
        <w:instrText xml:space="preserve"> ADDIN ZOTERO_ITEM CSL_CITATION {"citationID":"kpANc5s4","properties":{"formattedCitation":"(New York Times, 1902)","plainCitation":"(New York Times, 1902)","noteIndex":0},"citationItems":[{"id":3117,"uris":["http://zotero.org/users/1958668/items/U5GRJNWF"],"itemData":{"id":3117,"type":"article-newspaper","abstract":"BAKU, Feb. 17. -- Details which are slowly reaching Baku from Shemakha, which is about seventy miles from here, show that 2,000 persons, mostly women and children, perished as a result of the earthquake last week, and that 4,000 houses were destroyed.","container-title":"The New York Times","event-place":"Baku","language":"en","page":"1","publisher-place":"Baku","source":"TimesMachine","title":"2,000 DEAD AT SHEMAKHA","author":[{"family":"New York Times","given":"The"}],"issued":{"date-parts":[["1902",2,18]]}}}],"schema":"https://github.com/citation-style-language/schema/raw/master/csl-citation.json"} </w:instrText>
      </w:r>
      <w:r w:rsidRPr="00853CD5">
        <w:rPr>
          <w:sz w:val="24"/>
          <w:szCs w:val="24"/>
        </w:rPr>
        <w:fldChar w:fldCharType="separate"/>
      </w:r>
      <w:r w:rsidRPr="00853CD5">
        <w:rPr>
          <w:sz w:val="24"/>
          <w:szCs w:val="24"/>
        </w:rPr>
        <w:t>(New York Times, 1902)</w:t>
      </w:r>
      <w:r w:rsidRPr="00853CD5">
        <w:rPr>
          <w:sz w:val="24"/>
          <w:szCs w:val="24"/>
        </w:rPr>
        <w:fldChar w:fldCharType="end"/>
      </w:r>
      <w:r w:rsidRPr="00853CD5">
        <w:rPr>
          <w:sz w:val="24"/>
          <w:szCs w:val="24"/>
        </w:rPr>
        <w:t xml:space="preserve">. An isoseismal plot of damaged buildings from the 1902 earthquake (adapted from Weber, 1903 in </w:t>
      </w:r>
      <w:r w:rsidRPr="00853CD5">
        <w:rPr>
          <w:b/>
          <w:sz w:val="24"/>
          <w:szCs w:val="24"/>
        </w:rPr>
        <w:t>Figure 1</w:t>
      </w:r>
      <w:r w:rsidRPr="00853CD5">
        <w:rPr>
          <w:sz w:val="24"/>
          <w:szCs w:val="24"/>
        </w:rPr>
        <w:t xml:space="preserve">) suggests that the epicenter was close to Shamakhi and that the fault that ruptured follows the overall strike of the Kura thrust. </w:t>
      </w:r>
    </w:p>
    <w:p w14:paraId="12748E72" w14:textId="77777777" w:rsidR="00E65594" w:rsidRPr="00853CD5" w:rsidRDefault="00E65594" w:rsidP="00E65594">
      <w:pPr>
        <w:ind w:firstLine="720"/>
        <w:jc w:val="both"/>
        <w:rPr>
          <w:sz w:val="24"/>
          <w:szCs w:val="24"/>
        </w:rPr>
      </w:pPr>
      <w:r w:rsidRPr="00853CD5">
        <w:rPr>
          <w:sz w:val="24"/>
          <w:szCs w:val="24"/>
        </w:rPr>
        <w:t xml:space="preserve">Our paleoseismic results provide evidence of two surface rupturing events since the early 18th century (E1: AD 1713-1895 and E2: AD 1872-2003). The younger of these rupturing events, E2, may be the surface rupture of the 1902 Shamakhi earthquake, while the penultimate E1 event could be the 1668 earthquake if we reject two radiocarbon ages (R24 and R29). Present-day Shamakhi is only ~18 km northeast of the </w:t>
      </w:r>
      <w:proofErr w:type="spellStart"/>
      <w:r w:rsidRPr="00853CD5">
        <w:rPr>
          <w:sz w:val="24"/>
          <w:szCs w:val="24"/>
        </w:rPr>
        <w:t>Agsu</w:t>
      </w:r>
      <w:proofErr w:type="spellEnd"/>
      <w:r w:rsidRPr="00853CD5">
        <w:rPr>
          <w:sz w:val="24"/>
          <w:szCs w:val="24"/>
        </w:rPr>
        <w:t xml:space="preserve"> trench </w:t>
      </w:r>
      <w:proofErr w:type="gramStart"/>
      <w:r w:rsidRPr="00853CD5">
        <w:rPr>
          <w:sz w:val="24"/>
          <w:szCs w:val="24"/>
        </w:rPr>
        <w:t>site, and</w:t>
      </w:r>
      <w:proofErr w:type="gramEnd"/>
      <w:r w:rsidRPr="00853CD5">
        <w:rPr>
          <w:sz w:val="24"/>
          <w:szCs w:val="24"/>
        </w:rPr>
        <w:t xml:space="preserve"> would have experienced high intensity ground motions if the northeast-dipping fault ruptured, so the destruction reported during these events is consistent with our paleoseismic results. </w:t>
      </w:r>
    </w:p>
    <w:p w14:paraId="1C8965A3" w14:textId="77777777" w:rsidR="00E65594" w:rsidRPr="00853CD5" w:rsidRDefault="00E65594" w:rsidP="00E65594">
      <w:pPr>
        <w:ind w:firstLine="720"/>
        <w:jc w:val="both"/>
        <w:rPr>
          <w:sz w:val="24"/>
          <w:szCs w:val="24"/>
        </w:rPr>
      </w:pPr>
      <w:r w:rsidRPr="00853CD5">
        <w:rPr>
          <w:sz w:val="24"/>
          <w:szCs w:val="24"/>
        </w:rPr>
        <w:t xml:space="preserve">The past magnitude estimate of M~7 for the 1902 E2 event is reasonable based on comparisons of the 3.5 m displacement in the trench to displacements of other surface rupturing reverse mechanism earthquakes (e.g. </w:t>
      </w:r>
      <w:hyperlink r:id="rId18">
        <w:r w:rsidRPr="00853CD5">
          <w:rPr>
            <w:color w:val="CC2936"/>
            <w:sz w:val="24"/>
            <w:szCs w:val="24"/>
          </w:rPr>
          <w:t>Wesnousky, 2008</w:t>
        </w:r>
      </w:hyperlink>
      <w:r w:rsidRPr="00853CD5">
        <w:rPr>
          <w:sz w:val="24"/>
          <w:szCs w:val="24"/>
        </w:rPr>
        <w:t xml:space="preserve">), though such comparisons are of limited utility due to the paucity of examples of thrust/reverse surface rupturing earthquakes. Based on the greater observed displacement, E1 may have had a larger magnitude than E2. If we assume that the 1902 rupture plane (E2) has dimensions similar to the reported high damage </w:t>
      </w:r>
      <w:proofErr w:type="spellStart"/>
      <w:r w:rsidRPr="00853CD5">
        <w:rPr>
          <w:sz w:val="24"/>
          <w:szCs w:val="24"/>
        </w:rPr>
        <w:t>isoseismals</w:t>
      </w:r>
      <w:proofErr w:type="spellEnd"/>
      <w:r w:rsidRPr="00853CD5">
        <w:rPr>
          <w:sz w:val="24"/>
          <w:szCs w:val="24"/>
        </w:rPr>
        <w:t xml:space="preserve"> (50 x 30 km, Weber, 1903) and slipped an average of 3.5 m (measured from the trench), then using the equation relating moment magnitude to seismogenic moment, where l=rupture length (50 km), w=rupture width (30 km), and d=displacement (3.5 m) </w:t>
      </w:r>
      <w:r w:rsidRPr="00853CD5">
        <w:rPr>
          <w:sz w:val="24"/>
          <w:szCs w:val="24"/>
        </w:rPr>
        <w:fldChar w:fldCharType="begin"/>
      </w:r>
      <w:r w:rsidRPr="00853CD5">
        <w:rPr>
          <w:sz w:val="24"/>
          <w:szCs w:val="24"/>
        </w:rPr>
        <w:instrText xml:space="preserve"> ADDIN ZOTERO_ITEM CSL_CITATION {"citationID":"xuufUMld","properties":{"formattedCitation":"(Hanks and Kanamori, 1979)","plainCitation":"(Hanks and Kanamori, 1979)","noteIndex":0},"citationItems":[{"id":53,"uris":["http://zotero.org/users/1958668/items/GGJE4RRY"],"itemData":{"id":53,"type":"article-journal","abstract":"The nearly coincident forms of the relations between seismic moment M0 and the magnitudes ML, MS, and Mw imply a moment magnitude scale M = ⅔ log M0 - 10.7 which is uniformly valid for 3 </w:instrText>
      </w:r>
      <w:r w:rsidRPr="00853CD5">
        <w:rPr>
          <w:rFonts w:ascii="Cambria Math" w:hAnsi="Cambria Math" w:cs="Cambria Math"/>
          <w:sz w:val="24"/>
          <w:szCs w:val="24"/>
        </w:rPr>
        <w:instrText>≲</w:instrText>
      </w:r>
      <w:r w:rsidRPr="00853CD5">
        <w:rPr>
          <w:sz w:val="24"/>
          <w:szCs w:val="24"/>
        </w:rPr>
        <w:instrText xml:space="preserve"> ML </w:instrText>
      </w:r>
      <w:r w:rsidRPr="00853CD5">
        <w:rPr>
          <w:rFonts w:ascii="Cambria Math" w:hAnsi="Cambria Math" w:cs="Cambria Math"/>
          <w:sz w:val="24"/>
          <w:szCs w:val="24"/>
        </w:rPr>
        <w:instrText>≲</w:instrText>
      </w:r>
      <w:r w:rsidRPr="00853CD5">
        <w:rPr>
          <w:sz w:val="24"/>
          <w:szCs w:val="24"/>
        </w:rPr>
        <w:instrText xml:space="preserve"> 7, 5 </w:instrText>
      </w:r>
      <w:r w:rsidRPr="00853CD5">
        <w:rPr>
          <w:rFonts w:ascii="Cambria Math" w:hAnsi="Cambria Math" w:cs="Cambria Math"/>
          <w:sz w:val="24"/>
          <w:szCs w:val="24"/>
        </w:rPr>
        <w:instrText>≲</w:instrText>
      </w:r>
      <w:r w:rsidRPr="00853CD5">
        <w:rPr>
          <w:sz w:val="24"/>
          <w:szCs w:val="24"/>
        </w:rPr>
        <w:instrText xml:space="preserve"> Ms </w:instrText>
      </w:r>
      <w:r w:rsidRPr="00853CD5">
        <w:rPr>
          <w:rFonts w:ascii="Cambria Math" w:hAnsi="Cambria Math" w:cs="Cambria Math"/>
          <w:sz w:val="24"/>
          <w:szCs w:val="24"/>
        </w:rPr>
        <w:instrText>≲</w:instrText>
      </w:r>
      <w:r w:rsidRPr="00853CD5">
        <w:rPr>
          <w:sz w:val="24"/>
          <w:szCs w:val="24"/>
        </w:rPr>
        <w:instrText xml:space="preserve"> 7½, and Mw </w:instrText>
      </w:r>
      <w:r w:rsidRPr="00853CD5">
        <w:rPr>
          <w:rFonts w:ascii="Cambria Math" w:hAnsi="Cambria Math" w:cs="Cambria Math"/>
          <w:sz w:val="24"/>
          <w:szCs w:val="24"/>
        </w:rPr>
        <w:instrText>≳</w:instrText>
      </w:r>
      <w:r w:rsidRPr="00853CD5">
        <w:rPr>
          <w:sz w:val="24"/>
          <w:szCs w:val="24"/>
        </w:rPr>
        <w:instrText xml:space="preserve"> 7½.","container-title":"Journal of Geophysical Research: Solid Earth","DOI":"10.1029/JB084iB05p02348","ISSN":"2156-2202","issue":"B5","language":"en","license":"Copyright 1979 by the American Geophysical Union.","page":"2348-2350","source":"Wiley Online Library","title":"A moment magnitude scale","volume":"84","author":[{"family":"Hanks","given":"Thomas C."},{"family":"Kanamori","given":"Hiroo"}],"issued":{"date-parts":[["1979"]]}}}],"schema":"https://github.com/citation-style-language/schema/raw/master/csl-citation.json"} </w:instrText>
      </w:r>
      <w:r w:rsidRPr="00853CD5">
        <w:rPr>
          <w:sz w:val="24"/>
          <w:szCs w:val="24"/>
        </w:rPr>
        <w:fldChar w:fldCharType="separate"/>
      </w:r>
      <w:r w:rsidRPr="00853CD5">
        <w:rPr>
          <w:sz w:val="24"/>
          <w:szCs w:val="24"/>
        </w:rPr>
        <w:t>(Hanks and Kanamori, 1979, adapted for dyne-cm)</w:t>
      </w:r>
      <w:r w:rsidRPr="00853CD5">
        <w:rPr>
          <w:sz w:val="24"/>
          <w:szCs w:val="24"/>
        </w:rPr>
        <w:fldChar w:fldCharType="end"/>
      </w:r>
      <w:r w:rsidRPr="00853CD5">
        <w:rPr>
          <w:sz w:val="24"/>
          <w:szCs w:val="24"/>
        </w:rPr>
        <w:t>:</w:t>
      </w:r>
    </w:p>
    <w:p w14:paraId="5E0CD6DC" w14:textId="77777777" w:rsidR="00E65594" w:rsidRPr="00853CD5" w:rsidRDefault="00E65594" w:rsidP="00E65594">
      <w:pPr>
        <w:ind w:firstLine="720"/>
        <w:jc w:val="both"/>
        <w:rPr>
          <w:sz w:val="24"/>
          <w:szCs w:val="24"/>
        </w:rPr>
      </w:pPr>
      <m:oMathPara>
        <m:oMath>
          <m:r>
            <w:rPr>
              <w:rFonts w:ascii="Cambria Math" w:hAnsi="Cambria Math"/>
              <w:sz w:val="24"/>
              <w:szCs w:val="24"/>
            </w:rPr>
            <m:t>Mw=</m:t>
          </m:r>
          <m:f>
            <m:fPr>
              <m:ctrlPr>
                <w:rPr>
                  <w:rFonts w:ascii="Cambria Math" w:hAnsi="Cambria Math"/>
                  <w:sz w:val="24"/>
                  <w:szCs w:val="24"/>
                </w:rPr>
              </m:ctrlPr>
            </m:fPr>
            <m:num>
              <m:r>
                <w:rPr>
                  <w:rFonts w:ascii="Cambria Math" w:hAnsi="Cambria Math"/>
                  <w:sz w:val="24"/>
                  <w:szCs w:val="24"/>
                </w:rPr>
                <m:t>2</m:t>
              </m:r>
            </m:num>
            <m:den>
              <m:r>
                <w:rPr>
                  <w:rFonts w:ascii="Cambria Math" w:hAnsi="Cambria Math"/>
                  <w:sz w:val="24"/>
                  <w:szCs w:val="24"/>
                </w:rPr>
                <m:t>3</m:t>
              </m:r>
            </m:den>
          </m:f>
          <m:r>
            <w:rPr>
              <w:rFonts w:ascii="Cambria Math" w:hAnsi="Cambria Math"/>
              <w:sz w:val="24"/>
              <w:szCs w:val="24"/>
            </w:rPr>
            <m:t>log</m:t>
          </m:r>
          <m:d>
            <m:dPr>
              <m:ctrlPr>
                <w:rPr>
                  <w:rFonts w:ascii="Cambria Math" w:hAnsi="Cambria Math"/>
                  <w:i/>
                  <w:sz w:val="24"/>
                  <w:szCs w:val="24"/>
                </w:rPr>
              </m:ctrlPr>
            </m:dPr>
            <m:e>
              <m:r>
                <w:rPr>
                  <w:rFonts w:ascii="Cambria Math" w:hAnsi="Cambria Math"/>
                  <w:sz w:val="24"/>
                  <w:szCs w:val="24"/>
                </w:rPr>
                <m:t>3×</m:t>
              </m:r>
              <m:sSup>
                <m:sSupPr>
                  <m:ctrlPr>
                    <w:rPr>
                      <w:rFonts w:ascii="Cambria Math" w:hAnsi="Cambria Math"/>
                      <w:sz w:val="24"/>
                      <w:szCs w:val="24"/>
                    </w:rPr>
                  </m:ctrlPr>
                </m:sSupPr>
                <m:e>
                  <m:r>
                    <w:rPr>
                      <w:rFonts w:ascii="Cambria Math" w:hAnsi="Cambria Math"/>
                      <w:sz w:val="24"/>
                      <w:szCs w:val="24"/>
                    </w:rPr>
                    <m:t>10</m:t>
                  </m:r>
                </m:e>
                <m:sup>
                  <m:r>
                    <w:rPr>
                      <w:rFonts w:ascii="Cambria Math" w:hAnsi="Cambria Math"/>
                      <w:sz w:val="24"/>
                      <w:szCs w:val="24"/>
                    </w:rPr>
                    <m:t>11</m:t>
                  </m:r>
                </m:sup>
              </m:sSup>
              <m:r>
                <w:rPr>
                  <w:rFonts w:ascii="Cambria Math" w:hAnsi="Cambria Math"/>
                  <w:sz w:val="24"/>
                  <w:szCs w:val="24"/>
                </w:rPr>
                <m:t>×l×w×d×</m:t>
              </m:r>
              <m:sSup>
                <m:sSupPr>
                  <m:ctrlPr>
                    <w:rPr>
                      <w:rFonts w:ascii="Cambria Math" w:eastAsia="Arial" w:hAnsi="Cambria Math"/>
                      <w:i/>
                      <w:sz w:val="24"/>
                      <w:szCs w:val="24"/>
                      <w:lang w:val="en" w:eastAsia="en-GB"/>
                    </w:rPr>
                  </m:ctrlPr>
                </m:sSupPr>
                <m:e>
                  <m:r>
                    <w:rPr>
                      <w:rFonts w:ascii="Cambria Math" w:hAnsi="Cambria Math"/>
                      <w:sz w:val="24"/>
                      <w:szCs w:val="24"/>
                    </w:rPr>
                    <m:t>10</m:t>
                  </m:r>
                </m:e>
                <m:sup>
                  <m:r>
                    <w:rPr>
                      <w:rFonts w:ascii="Cambria Math" w:hAnsi="Cambria Math"/>
                      <w:sz w:val="24"/>
                      <w:szCs w:val="24"/>
                    </w:rPr>
                    <m:t>12</m:t>
                  </m:r>
                </m:sup>
              </m:sSup>
              <m:r>
                <w:rPr>
                  <w:rFonts w:ascii="Cambria Math" w:hAnsi="Cambria Math"/>
                  <w:sz w:val="24"/>
                  <w:szCs w:val="24"/>
                </w:rPr>
                <m:t>+1</m:t>
              </m:r>
            </m:e>
          </m:d>
          <m:r>
            <w:rPr>
              <w:rFonts w:ascii="Cambria Math" w:hAnsi="Cambria Math"/>
              <w:sz w:val="24"/>
              <w:szCs w:val="24"/>
            </w:rPr>
            <m:t xml:space="preserve">-10.73 </m:t>
          </m:r>
        </m:oMath>
      </m:oMathPara>
    </w:p>
    <w:p w14:paraId="2D9B9C0D" w14:textId="77777777" w:rsidR="00E65594" w:rsidRPr="00853CD5" w:rsidRDefault="00E65594" w:rsidP="00E65594">
      <w:pPr>
        <w:jc w:val="both"/>
        <w:rPr>
          <w:sz w:val="24"/>
          <w:szCs w:val="24"/>
        </w:rPr>
      </w:pPr>
      <w:r w:rsidRPr="00853CD5">
        <w:rPr>
          <w:sz w:val="24"/>
          <w:szCs w:val="24"/>
        </w:rPr>
        <w:t>The result is an estimated M</w:t>
      </w:r>
      <w:r w:rsidRPr="00853CD5">
        <w:rPr>
          <w:sz w:val="24"/>
          <w:szCs w:val="24"/>
          <w:vertAlign w:val="subscript"/>
        </w:rPr>
        <w:t xml:space="preserve">w </w:t>
      </w:r>
      <w:r w:rsidRPr="00853CD5">
        <w:rPr>
          <w:sz w:val="24"/>
          <w:szCs w:val="24"/>
        </w:rPr>
        <w:t xml:space="preserve">7.4, much higher than the past estimate of M6.9 from intensity data for the 1902 Shamakhi earthquake. </w:t>
      </w:r>
    </w:p>
    <w:p w14:paraId="45BE684D" w14:textId="77777777" w:rsidR="00E65594" w:rsidRPr="00853CD5" w:rsidRDefault="00E65594" w:rsidP="00E65594">
      <w:pPr>
        <w:ind w:firstLine="720"/>
        <w:jc w:val="both"/>
        <w:rPr>
          <w:sz w:val="24"/>
          <w:szCs w:val="24"/>
        </w:rPr>
      </w:pPr>
      <w:r w:rsidRPr="00853CD5">
        <w:rPr>
          <w:sz w:val="24"/>
          <w:szCs w:val="24"/>
        </w:rPr>
        <w:t xml:space="preserve">The lack of reported historical earthquakes farther to the west in the Kura fold-thrust belt (i.e., near </w:t>
      </w:r>
      <w:proofErr w:type="spellStart"/>
      <w:r w:rsidRPr="00853CD5">
        <w:rPr>
          <w:sz w:val="24"/>
          <w:szCs w:val="24"/>
        </w:rPr>
        <w:t>Goychay</w:t>
      </w:r>
      <w:proofErr w:type="spellEnd"/>
      <w:r w:rsidRPr="00853CD5">
        <w:rPr>
          <w:sz w:val="24"/>
          <w:szCs w:val="24"/>
        </w:rPr>
        <w:t xml:space="preserve"> and west) contrasts with the numerous earthquakes reported near Shamakhi over the past 4 centuries. Like prior authors, we expect that most large (e.g. Mw&gt;7) earthquakes would have been felt over a wide area and likely would have been recorded </w:t>
      </w:r>
      <w:r w:rsidRPr="00853CD5">
        <w:rPr>
          <w:sz w:val="24"/>
          <w:szCs w:val="24"/>
        </w:rPr>
        <w:fldChar w:fldCharType="begin"/>
      </w:r>
      <w:r w:rsidRPr="00853CD5">
        <w:rPr>
          <w:sz w:val="24"/>
          <w:szCs w:val="24"/>
        </w:rPr>
        <w:instrText xml:space="preserve"> ADDIN ZOTERO_ITEM CSL_CITATION {"citationID":"L6noJIOI","properties":{"formattedCitation":"(Jackson and Ambraseys, 1997)","plainCitation":"(Jackson and Ambraseys, 1997)","noteIndex":0},"citationItems":[{"id":3190,"uris":["http://zotero.org/users/1958668/items/M68LDPDV"],"itemData":{"id":3190,"type":"chapter","collection-title":"28","container-title":"Historical and prehistorical earthquakes in the Caucasus","page":"79-90","title":"Convergence between Eurasia and Arabia in eastern Turkey and the Caucasus","author":[{"family":"Jackson","given":"J. A."},{"family":"Ambraseys","given":"N. N."}],"issued":{"date-parts":[["1997"]]}}}],"schema":"https://github.com/citation-style-language/schema/raw/master/csl-citation.json"} </w:instrText>
      </w:r>
      <w:r w:rsidRPr="00853CD5">
        <w:rPr>
          <w:sz w:val="24"/>
          <w:szCs w:val="24"/>
        </w:rPr>
        <w:fldChar w:fldCharType="separate"/>
      </w:r>
      <w:r w:rsidRPr="00853CD5">
        <w:rPr>
          <w:sz w:val="24"/>
          <w:szCs w:val="24"/>
        </w:rPr>
        <w:t>(Jackson and Ambraseys, 1997)</w:t>
      </w:r>
      <w:r w:rsidRPr="00853CD5">
        <w:rPr>
          <w:sz w:val="24"/>
          <w:szCs w:val="24"/>
        </w:rPr>
        <w:fldChar w:fldCharType="end"/>
      </w:r>
      <w:r w:rsidRPr="00853CD5">
        <w:rPr>
          <w:sz w:val="24"/>
          <w:szCs w:val="24"/>
        </w:rPr>
        <w:t xml:space="preserve">. Thus, the western and central Kura fold-thrust belt could either (a) have considerable strain accumulated or (b) be deforming </w:t>
      </w:r>
      <w:proofErr w:type="spellStart"/>
      <w:r w:rsidRPr="00853CD5">
        <w:rPr>
          <w:sz w:val="24"/>
          <w:szCs w:val="24"/>
        </w:rPr>
        <w:t>aseismically</w:t>
      </w:r>
      <w:proofErr w:type="spellEnd"/>
      <w:r w:rsidRPr="00853CD5">
        <w:rPr>
          <w:sz w:val="24"/>
          <w:szCs w:val="24"/>
        </w:rPr>
        <w:t xml:space="preserve">. Given the numerous fault scarps </w:t>
      </w:r>
      <w:r w:rsidRPr="00853CD5">
        <w:rPr>
          <w:sz w:val="24"/>
          <w:szCs w:val="24"/>
        </w:rPr>
        <w:lastRenderedPageBreak/>
        <w:t>identified during fieldwork (</w:t>
      </w:r>
      <w:r w:rsidRPr="00853CD5">
        <w:rPr>
          <w:b/>
          <w:sz w:val="24"/>
          <w:szCs w:val="24"/>
        </w:rPr>
        <w:t>Figure 2</w:t>
      </w:r>
      <w:r w:rsidRPr="00853CD5">
        <w:rPr>
          <w:sz w:val="24"/>
          <w:szCs w:val="24"/>
        </w:rPr>
        <w:t>) we suggest that the fault system does periodically produce surface rupturing earthquakes. If we assume that strain has accumulated at a rate of ~10 mm/</w:t>
      </w:r>
      <w:proofErr w:type="spellStart"/>
      <w:r w:rsidRPr="00853CD5">
        <w:rPr>
          <w:sz w:val="24"/>
          <w:szCs w:val="24"/>
        </w:rPr>
        <w:t>yr</w:t>
      </w:r>
      <w:proofErr w:type="spellEnd"/>
      <w:r w:rsidRPr="00853CD5">
        <w:rPr>
          <w:sz w:val="24"/>
          <w:szCs w:val="24"/>
        </w:rPr>
        <w:t xml:space="preserve"> since the earliest reported earthquake in AD 1139, then it is possible that 250 km of the Kura fold-thrust belt, from </w:t>
      </w:r>
      <w:proofErr w:type="spellStart"/>
      <w:r w:rsidRPr="00853CD5">
        <w:rPr>
          <w:sz w:val="24"/>
          <w:szCs w:val="24"/>
        </w:rPr>
        <w:t>Agsu</w:t>
      </w:r>
      <w:proofErr w:type="spellEnd"/>
      <w:r w:rsidRPr="00853CD5">
        <w:rPr>
          <w:sz w:val="24"/>
          <w:szCs w:val="24"/>
        </w:rPr>
        <w:t xml:space="preserve"> to Tbilisi, could have &gt;8.8 m of stored strain. The Kura fold-thrust belt soles into a 5° north-dipping detachment at a depth of ~5 km </w:t>
      </w:r>
      <w:r w:rsidRPr="00853CD5">
        <w:rPr>
          <w:sz w:val="24"/>
          <w:szCs w:val="24"/>
        </w:rPr>
        <w:fldChar w:fldCharType="begin"/>
      </w:r>
      <w:r w:rsidRPr="00853CD5">
        <w:rPr>
          <w:sz w:val="24"/>
          <w:szCs w:val="24"/>
        </w:rPr>
        <w:instrText xml:space="preserve"> ADDIN ZOTERO_ITEM CSL_CITATION {"citationID":"Lnr0o8sF","properties":{"formattedCitation":"(Forte et al., 2013)","plainCitation":"(Forte et al., 2013)","noteIndex":0},"citationItems":[{"id":855,"uris":["http://zotero.org/users/1958668/items/TSBZ9Q43"],"itemData":{"id":855,"type":"article-journal","abstract":"AbstractThe Greater Caucasus are the northernmost extent of the Arabia-Eurasia collision and are thought to represent the main locus of shortening within the central portion of the collision zone between 40° and 48°E. Recent work suggests that in detail, since the Plio-Pleistocene, much of the shortening in the eastern portion of the Caucasus system has been focused within the Kura fold-thrust belt along the southeastern margin of the Greater Caucasus. Here we present new field mapping and stratigraphic investigations of the eastern termination of the Kura fold-thrust belt in Azerbaijan to better constrain the structural geometries, magnitude of shortening, and initiation age for this portion of the fold-thrust belt. Our work suggests that this area of the fold-thrust belt exhibits significant along-strike variations in structural style and evolution and can effectively be divided into two distinct domains at 48°E. The western domain is characterized by a subcritical median surface slope and isolated folds and thrusts propagating out of sequence, whereas the eastern domain is dominated by a single duplex structure and a history of in-sequence development in a critically tapered wedge. We hypothesize that these variations result from changes in relative rates of syn-tectonic sedimentation, erosion, and convergence velocity along strike. We find that within the western domain, the fold-thrust belt has accommodated 12 km of total shortening. An unconformity within the western domain brackets the initiation age of this portion of the fold-thrust belt to between 1.8 and 0.88 Ma yielding permissible average shortening rates of between 6.7 and 13.6 mm/yr. Comparison of these average shortening rates to the geodetically measured shortening rate of 8 mm/yr indicates that since initiation, the fold-thrust belt has accommodated 83–100% of convergence between the Greater and Lesser Caucasus at this longitude.","container-title":"Tectonics","DOI":"10.1002/tect.20032","ISSN":"1944-9194","issue":"3","language":"en","license":"©2013. American Geophysical Union. All Rights Reserved.","page":"688-717","source":"Wiley Online Library","title":"Structural geometries and magnitude of shortening in the eastern Kura fold-thrust belt, Azerbaijan: Implications for the development of the Greater Caucasus Mountains","title-short":"Structural geometries and magnitude of shortening in the eastern Kura fold-thrust belt, Azerbaijan","volume":"32","author":[{"family":"Forte","given":"Adam M."},{"family":"Cowgill","given":"Eric"},{"family":"Murtuzayev","given":"Ibrahim"},{"family":"Kangarli","given":"Talat"},{"family":"Stoica","given":"Marius"}],"issued":{"date-parts":[["2013"]]}}}],"schema":"https://github.com/citation-style-language/schema/raw/master/csl-citation.json"} </w:instrText>
      </w:r>
      <w:r w:rsidRPr="00853CD5">
        <w:rPr>
          <w:sz w:val="24"/>
          <w:szCs w:val="24"/>
        </w:rPr>
        <w:fldChar w:fldCharType="separate"/>
      </w:r>
      <w:r w:rsidRPr="00853CD5">
        <w:rPr>
          <w:sz w:val="24"/>
          <w:szCs w:val="24"/>
        </w:rPr>
        <w:t>(Forte et al., 2013)</w:t>
      </w:r>
      <w:r w:rsidRPr="00853CD5">
        <w:rPr>
          <w:sz w:val="24"/>
          <w:szCs w:val="24"/>
        </w:rPr>
        <w:fldChar w:fldCharType="end"/>
      </w:r>
      <w:r w:rsidRPr="00853CD5">
        <w:rPr>
          <w:sz w:val="24"/>
          <w:szCs w:val="24"/>
        </w:rPr>
        <w:t xml:space="preserve">, and the minimum width of the thrust belt is ~25 km. The base of the seismogenic zone extends to at least a depth of 40 km in this region </w:t>
      </w:r>
      <w:r w:rsidRPr="00853CD5">
        <w:rPr>
          <w:sz w:val="24"/>
          <w:szCs w:val="24"/>
        </w:rPr>
        <w:fldChar w:fldCharType="begin"/>
      </w:r>
      <w:r w:rsidRPr="00853CD5">
        <w:rPr>
          <w:sz w:val="24"/>
          <w:szCs w:val="24"/>
        </w:rPr>
        <w:instrText xml:space="preserve"> ADDIN ZOTERO_ITEM CSL_CITATION {"citationID":"neQ9CLE3","properties":{"formattedCitation":"(Gunnels et al., 2021; Yetirmishli et al., 2021)","plainCitation":"(Gunnels et al., 2021; Yetirmishli et al., 2021)","noteIndex":0},"citationItems":[{"id":3198,"uris":["http://zotero.org/users/1958668/items/7C3MTRXB"],"itemData":{"id":3198,"type":"article-journal","abstract":"We generated high-resolution 3-D seismic velocity models as well as a relocated earthquake catalogue across the eastern Greater Caucasus and Kura basins. This work was done using data from the recently upgraded Republic Seismological Survey Center's (RSSC) seismic network. We generated our tomographic images of crustal velocity structure in Azerbaijan using double-difference inversions (i.e. tomoDD and hypoDD). Earthquake catalogues from the RSSC between 2011 and 2016 were used; these catalogues include absolute arrival times of 103 288 P- and 120 952 S-wave traveltime picks for 7574 events recorded at 35 stations in Azerbaijan. Beginning with a layered, 1-D velocity model that was estimated using VELEST, we inverted simultaneously for relative location, Vp and Vs on a 3-D grid with dimensions 670 × 445 × 45 km, with a uniform grid spacing of 55 × 55 × 5 km for all of Azerbaijan. We observe that the relocated hypocentres cluster into two depth ranges, at the surface and at depth, that appear to correspond to major fault zones and the top of a subducting plate. Additionally, we note intermediate depth seismicity (</w:instrText>
      </w:r>
      <w:r w:rsidRPr="00853CD5">
        <w:rPr>
          <w:rFonts w:ascii="Cambria Math" w:hAnsi="Cambria Math" w:cs="Cambria Math"/>
          <w:sz w:val="24"/>
          <w:szCs w:val="24"/>
        </w:rPr>
        <w:instrText>∼</w:instrText>
      </w:r>
      <w:r w:rsidRPr="00853CD5">
        <w:rPr>
          <w:sz w:val="24"/>
          <w:szCs w:val="24"/>
        </w:rPr>
        <w:instrText xml:space="preserve">50–60 km) beneath the Kura Basin, and a northward deepening of earthquake depths. Seismic velocities vary significantly throughout the study region; we observe very slow velocities throughout the Kura Basin between 5 and 15 km, and elevated velocities at 20–35 km. The wholesale velocity structure and seismic structure of Kura Basin strongly mirrors that of the Caspian Sea, which suggests that the geodynamics of the Caspian continue westwards into Azerbaijan. The key results of this study suggest that the northward subduction observed in the Caspian Sea continues beneath the Eastern Greater Caucasus, as well as provides evidence for active faulting along the southern margin of the mountain range.","container-title":"Geophysical Journal International","DOI":"10.1093/gji/ggaa522","ISSN":"0956-540X","issue":"3","journalAbbreviation":"Geophysical Journal International","page":"1825-1834","source":"Silverchair","title":"Seismotectonic evidence for subduction beneath the Eastern Greater Caucasus","volume":"224","author":[{"family":"Gunnels","given":"Michael"},{"family":"Yetrimishli","given":"Gurban"},{"family":"Kazimova","given":"Sabina"},{"family":"Sandvol","given":"Eric"}],"issued":{"date-parts":[["2021",3,1]]}}},{"id":3192,"uris":["http://zotero.org/users/1958668/items/YDF7S4GM"],"itemData":{"id":3192,"type":"article-journal","container-title":"Seismoprognosis Observations in the Territory of Azerbaijan","issue":"1","language":"en","page":"3-18","source":"Zotero","title":"Seismicity of the territory of Azerbaijan in 2019","volume":"19","author":[{"family":"Yetirmishli","given":"G. J."},{"family":"Ismayilova","given":"S. S."},{"family":"Kazimova","given":"S. E."}],"issued":{"date-parts":[["2021"]]}}}],"schema":"https://github.com/citation-style-language/schema/raw/master/csl-citation.json"} </w:instrText>
      </w:r>
      <w:r w:rsidRPr="00853CD5">
        <w:rPr>
          <w:sz w:val="24"/>
          <w:szCs w:val="24"/>
        </w:rPr>
        <w:fldChar w:fldCharType="separate"/>
      </w:r>
      <w:r w:rsidRPr="00853CD5">
        <w:rPr>
          <w:sz w:val="24"/>
          <w:szCs w:val="24"/>
        </w:rPr>
        <w:t xml:space="preserve">(Gunnels et al., 2021; </w:t>
      </w:r>
      <w:proofErr w:type="spellStart"/>
      <w:r w:rsidRPr="00853CD5">
        <w:rPr>
          <w:sz w:val="24"/>
          <w:szCs w:val="24"/>
        </w:rPr>
        <w:t>Yetirmishli</w:t>
      </w:r>
      <w:proofErr w:type="spellEnd"/>
      <w:r w:rsidRPr="00853CD5">
        <w:rPr>
          <w:sz w:val="24"/>
          <w:szCs w:val="24"/>
        </w:rPr>
        <w:t xml:space="preserve"> et al., 2021)</w:t>
      </w:r>
      <w:r w:rsidRPr="00853CD5">
        <w:rPr>
          <w:sz w:val="24"/>
          <w:szCs w:val="24"/>
        </w:rPr>
        <w:fldChar w:fldCharType="end"/>
      </w:r>
      <w:r w:rsidRPr="00853CD5">
        <w:rPr>
          <w:sz w:val="24"/>
          <w:szCs w:val="24"/>
        </w:rPr>
        <w:t>. Based on this geometry (width, w=25 km, length, l=250 km, displacement, d=8.8), we can estimate a magnitude, were the whole fault to rupture, using the above equation. The result demonstrates that the Kura fold-thrust belt could have sufficient stored strain to produce a Mw&gt;8 earthquake. This represents a significant hazard to the populations and infrastructure of the region, including the large earthen dam and 15,730 km</w:t>
      </w:r>
      <w:r w:rsidRPr="00853CD5">
        <w:rPr>
          <w:sz w:val="24"/>
          <w:szCs w:val="24"/>
          <w:vertAlign w:val="superscript"/>
        </w:rPr>
        <w:t>3</w:t>
      </w:r>
      <w:r w:rsidRPr="00853CD5">
        <w:rPr>
          <w:sz w:val="24"/>
          <w:szCs w:val="24"/>
        </w:rPr>
        <w:t xml:space="preserve"> reservoir at </w:t>
      </w:r>
      <w:proofErr w:type="spellStart"/>
      <w:r w:rsidRPr="00853CD5">
        <w:rPr>
          <w:sz w:val="24"/>
          <w:szCs w:val="24"/>
        </w:rPr>
        <w:t>Mingecevir</w:t>
      </w:r>
      <w:proofErr w:type="spellEnd"/>
      <w:r w:rsidRPr="00853CD5">
        <w:rPr>
          <w:sz w:val="24"/>
          <w:szCs w:val="24"/>
        </w:rPr>
        <w:t xml:space="preserve"> (</w:t>
      </w:r>
      <w:r w:rsidRPr="00853CD5">
        <w:rPr>
          <w:b/>
          <w:bCs/>
          <w:sz w:val="24"/>
          <w:szCs w:val="24"/>
        </w:rPr>
        <w:t>Figure 1</w:t>
      </w:r>
      <w:r w:rsidRPr="00853CD5">
        <w:rPr>
          <w:sz w:val="24"/>
          <w:szCs w:val="24"/>
        </w:rPr>
        <w:t xml:space="preserve">). </w:t>
      </w:r>
    </w:p>
    <w:p w14:paraId="726CA715" w14:textId="4C6DFB17" w:rsidR="00E65594" w:rsidRPr="00853CD5" w:rsidRDefault="00E65594" w:rsidP="003647B7">
      <w:pPr>
        <w:ind w:firstLine="720"/>
        <w:jc w:val="both"/>
        <w:rPr>
          <w:sz w:val="24"/>
          <w:szCs w:val="24"/>
        </w:rPr>
      </w:pPr>
      <w:r w:rsidRPr="00853CD5">
        <w:rPr>
          <w:sz w:val="24"/>
          <w:szCs w:val="24"/>
        </w:rPr>
        <w:t xml:space="preserve">This contrast in earthquake histories between the main Kura fold-thrust belt and the eastern region near Shamakhi suggests that ruptures to the west are less frequent but could be significantly larger, while the Shamakhi region is affected by more frequent moderate ruptures. More paleoseismic trenching and detailed mapping will be required to confirm our results, ascertain the size of past ruptures in the Kura fold-thrust belt and to investigate how these ruptures are partitioned among the different thrust sheets. </w:t>
      </w:r>
    </w:p>
    <w:p w14:paraId="4D52B927" w14:textId="18BA2A64" w:rsidR="00E65594" w:rsidRPr="00853CD5" w:rsidRDefault="00853CD5" w:rsidP="00853CD5">
      <w:pPr>
        <w:pStyle w:val="Heading-AGU"/>
      </w:pPr>
      <w:r w:rsidRPr="00853CD5">
        <w:t xml:space="preserve">5 </w:t>
      </w:r>
      <w:r w:rsidR="00E65594" w:rsidRPr="00853CD5">
        <w:t>Conclusions</w:t>
      </w:r>
    </w:p>
    <w:p w14:paraId="090AEF89" w14:textId="1EB712A5" w:rsidR="00E65594" w:rsidRPr="00853CD5" w:rsidRDefault="00E65594" w:rsidP="003647B7">
      <w:pPr>
        <w:jc w:val="both"/>
        <w:rPr>
          <w:sz w:val="24"/>
          <w:szCs w:val="24"/>
        </w:rPr>
      </w:pPr>
      <w:r w:rsidRPr="00853CD5">
        <w:rPr>
          <w:sz w:val="24"/>
          <w:szCs w:val="24"/>
        </w:rPr>
        <w:tab/>
        <w:t xml:space="preserve">The two surface rupturing events (AD 1713-1895 and AD 1872-2003) from the trench near </w:t>
      </w:r>
      <w:proofErr w:type="spellStart"/>
      <w:r w:rsidRPr="00853CD5">
        <w:rPr>
          <w:sz w:val="24"/>
          <w:szCs w:val="24"/>
        </w:rPr>
        <w:t>Agsu</w:t>
      </w:r>
      <w:proofErr w:type="spellEnd"/>
      <w:r w:rsidRPr="00853CD5">
        <w:rPr>
          <w:sz w:val="24"/>
          <w:szCs w:val="24"/>
        </w:rPr>
        <w:t xml:space="preserve"> are likely the surface ruptures of the historical 1668 and 1902 earthquakes that destroyed Shamakhi. We reassess the estimated magnitude for the 1902 event and suggest that it was a Mw7.4 rather than M6.9 earthquake. Further trenching is required to confirm these results, to place limits on the possible rupture lengths, to better estimate the magnitude of these historical events, and to determine the rupture histories of the other faults in the Kura fold-thrust belt to the west. Dating of an abandoned strath terrace in a water gap provides a maximum limit of ~8 mm/</w:t>
      </w:r>
      <w:proofErr w:type="spellStart"/>
      <w:r w:rsidRPr="00853CD5">
        <w:rPr>
          <w:sz w:val="24"/>
          <w:szCs w:val="24"/>
        </w:rPr>
        <w:t>yr</w:t>
      </w:r>
      <w:proofErr w:type="spellEnd"/>
      <w:r w:rsidRPr="00853CD5">
        <w:rPr>
          <w:sz w:val="24"/>
          <w:szCs w:val="24"/>
        </w:rPr>
        <w:t xml:space="preserve"> of shortening during the Holocene across the youngest active folds west of </w:t>
      </w:r>
      <w:proofErr w:type="spellStart"/>
      <w:r w:rsidRPr="00853CD5">
        <w:rPr>
          <w:sz w:val="24"/>
          <w:szCs w:val="24"/>
        </w:rPr>
        <w:t>Agsu</w:t>
      </w:r>
      <w:proofErr w:type="spellEnd"/>
      <w:r w:rsidRPr="00853CD5">
        <w:rPr>
          <w:sz w:val="24"/>
          <w:szCs w:val="24"/>
        </w:rPr>
        <w:t>. These results are consistent with geodetic and structural studies that show that most of the ~10 mm/</w:t>
      </w:r>
      <w:proofErr w:type="spellStart"/>
      <w:r w:rsidRPr="00853CD5">
        <w:rPr>
          <w:sz w:val="24"/>
          <w:szCs w:val="24"/>
        </w:rPr>
        <w:t>yr</w:t>
      </w:r>
      <w:proofErr w:type="spellEnd"/>
      <w:r w:rsidRPr="00853CD5">
        <w:rPr>
          <w:sz w:val="24"/>
          <w:szCs w:val="24"/>
        </w:rPr>
        <w:t xml:space="preserve"> of convergence between the Arabian plate and Eurasia in the western Greater Caucasus is accommodated by the Kura fold-thrust belt. Based on these rates, and if there have been no ruptures of the central and western parts of the Kura fold-thrust system since the last reported historical event in 1139 AD, then the system could have sufficient strain accumulated to produce a M&gt;8 earthquake.</w:t>
      </w:r>
    </w:p>
    <w:p w14:paraId="039421BB" w14:textId="77777777" w:rsidR="00E65594" w:rsidRPr="00853CD5" w:rsidRDefault="00E65594" w:rsidP="00853CD5">
      <w:pPr>
        <w:pStyle w:val="Heading-AGU"/>
      </w:pPr>
      <w:r w:rsidRPr="00853CD5">
        <w:t>Acknowledgements</w:t>
      </w:r>
    </w:p>
    <w:p w14:paraId="4F1CCAE9" w14:textId="288156B4" w:rsidR="00E65594" w:rsidRPr="00853CD5" w:rsidRDefault="00E65594" w:rsidP="00E65594">
      <w:pPr>
        <w:rPr>
          <w:sz w:val="24"/>
          <w:szCs w:val="24"/>
        </w:rPr>
      </w:pPr>
      <w:r w:rsidRPr="00853CD5">
        <w:rPr>
          <w:sz w:val="24"/>
          <w:szCs w:val="24"/>
        </w:rPr>
        <w:tab/>
        <w:t xml:space="preserve">This research was supported in part by the Leverhulme Trust projects ‘EROICA’ (RPG-2018-371) and ‘NEPTUNE’ (RPG-2018-243), by the NERC-ESRC Increasing Resilience to Natural Hazards program ‘Earthquakes without Frontiers’ (NE/J02001X/1), the NERC-funded COMET (GA/13/M/031) and allocation 0009090 from the Research England GCRF support fund. The authors are grateful for field assistance from </w:t>
      </w:r>
      <w:proofErr w:type="spellStart"/>
      <w:r w:rsidRPr="00853CD5">
        <w:rPr>
          <w:sz w:val="24"/>
          <w:szCs w:val="24"/>
        </w:rPr>
        <w:t>Sarvat</w:t>
      </w:r>
      <w:proofErr w:type="spellEnd"/>
      <w:r w:rsidRPr="00853CD5">
        <w:rPr>
          <w:sz w:val="24"/>
          <w:szCs w:val="24"/>
        </w:rPr>
        <w:t xml:space="preserve"> </w:t>
      </w:r>
      <w:proofErr w:type="spellStart"/>
      <w:r w:rsidRPr="00853CD5">
        <w:rPr>
          <w:sz w:val="24"/>
          <w:szCs w:val="24"/>
        </w:rPr>
        <w:t>Gurbanzada</w:t>
      </w:r>
      <w:proofErr w:type="spellEnd"/>
      <w:r w:rsidRPr="00853CD5">
        <w:rPr>
          <w:sz w:val="24"/>
          <w:szCs w:val="24"/>
        </w:rPr>
        <w:t xml:space="preserve">, Rashid Khalilov, Aslan </w:t>
      </w:r>
      <w:proofErr w:type="spellStart"/>
      <w:r w:rsidRPr="00853CD5">
        <w:rPr>
          <w:sz w:val="24"/>
          <w:szCs w:val="24"/>
        </w:rPr>
        <w:t>Sadikov</w:t>
      </w:r>
      <w:proofErr w:type="spellEnd"/>
      <w:r w:rsidRPr="00853CD5">
        <w:rPr>
          <w:sz w:val="24"/>
          <w:szCs w:val="24"/>
        </w:rPr>
        <w:t xml:space="preserve">, </w:t>
      </w:r>
      <w:proofErr w:type="spellStart"/>
      <w:r w:rsidRPr="00853CD5">
        <w:rPr>
          <w:sz w:val="24"/>
          <w:szCs w:val="24"/>
        </w:rPr>
        <w:t>Telman</w:t>
      </w:r>
      <w:proofErr w:type="spellEnd"/>
      <w:r w:rsidRPr="00853CD5">
        <w:rPr>
          <w:sz w:val="24"/>
          <w:szCs w:val="24"/>
        </w:rPr>
        <w:t xml:space="preserve"> </w:t>
      </w:r>
      <w:proofErr w:type="spellStart"/>
      <w:r w:rsidRPr="00853CD5">
        <w:rPr>
          <w:sz w:val="24"/>
          <w:szCs w:val="24"/>
        </w:rPr>
        <w:t>Jaferov</w:t>
      </w:r>
      <w:proofErr w:type="spellEnd"/>
      <w:r w:rsidRPr="00853CD5">
        <w:rPr>
          <w:sz w:val="24"/>
          <w:szCs w:val="24"/>
        </w:rPr>
        <w:t xml:space="preserve">, and </w:t>
      </w:r>
      <w:proofErr w:type="spellStart"/>
      <w:r w:rsidRPr="00853CD5">
        <w:rPr>
          <w:sz w:val="24"/>
          <w:szCs w:val="24"/>
        </w:rPr>
        <w:t>Samandar</w:t>
      </w:r>
      <w:proofErr w:type="spellEnd"/>
      <w:r w:rsidRPr="00853CD5">
        <w:rPr>
          <w:sz w:val="24"/>
          <w:szCs w:val="24"/>
        </w:rPr>
        <w:t xml:space="preserve"> Mammadov. Thanks to </w:t>
      </w:r>
      <w:proofErr w:type="spellStart"/>
      <w:r w:rsidRPr="00853CD5">
        <w:rPr>
          <w:sz w:val="24"/>
          <w:szCs w:val="24"/>
        </w:rPr>
        <w:t>Arzu</w:t>
      </w:r>
      <w:proofErr w:type="spellEnd"/>
      <w:r w:rsidRPr="00853CD5">
        <w:rPr>
          <w:sz w:val="24"/>
          <w:szCs w:val="24"/>
        </w:rPr>
        <w:t xml:space="preserve"> </w:t>
      </w:r>
      <w:proofErr w:type="spellStart"/>
      <w:r w:rsidRPr="00853CD5">
        <w:rPr>
          <w:sz w:val="24"/>
          <w:szCs w:val="24"/>
        </w:rPr>
        <w:t>Javadova</w:t>
      </w:r>
      <w:proofErr w:type="spellEnd"/>
      <w:r w:rsidRPr="00853CD5">
        <w:rPr>
          <w:sz w:val="24"/>
          <w:szCs w:val="24"/>
        </w:rPr>
        <w:t xml:space="preserve"> (SOCAR) and Nazim Abdullayev (BP) for both their scientific input and for helping to organize funding from BP for field and laboratory expenses. </w:t>
      </w:r>
    </w:p>
    <w:p w14:paraId="1EA12F8D" w14:textId="77777777" w:rsidR="00E65594" w:rsidRPr="00853CD5" w:rsidRDefault="00E65594" w:rsidP="00853CD5">
      <w:pPr>
        <w:pStyle w:val="Heading-AGU"/>
      </w:pPr>
      <w:r w:rsidRPr="00853CD5">
        <w:lastRenderedPageBreak/>
        <w:t>Data Availability Statement</w:t>
      </w:r>
    </w:p>
    <w:p w14:paraId="28AA0512" w14:textId="77777777" w:rsidR="00E65594" w:rsidRPr="00853CD5" w:rsidRDefault="00E65594" w:rsidP="00E65594">
      <w:pPr>
        <w:rPr>
          <w:sz w:val="24"/>
          <w:szCs w:val="24"/>
        </w:rPr>
      </w:pPr>
      <w:r w:rsidRPr="00853CD5">
        <w:rPr>
          <w:b/>
          <w:sz w:val="24"/>
          <w:szCs w:val="24"/>
        </w:rPr>
        <w:tab/>
      </w:r>
      <w:r w:rsidRPr="00853CD5">
        <w:rPr>
          <w:sz w:val="24"/>
          <w:szCs w:val="24"/>
        </w:rPr>
        <w:t xml:space="preserve">Drone photogrammetry models produced during this study are freely available on OpenTopography.org: https://doi.org/10.5069/G93776XH </w:t>
      </w:r>
    </w:p>
    <w:p w14:paraId="6CA9C48E" w14:textId="79A217C7" w:rsidR="00E65594" w:rsidRPr="003647B7" w:rsidRDefault="00E65594" w:rsidP="00E65594">
      <w:pPr>
        <w:rPr>
          <w:sz w:val="24"/>
          <w:szCs w:val="24"/>
        </w:rPr>
      </w:pPr>
      <w:r w:rsidRPr="00853CD5">
        <w:rPr>
          <w:sz w:val="24"/>
          <w:szCs w:val="24"/>
        </w:rPr>
        <w:t>All other data used is publicly available or provided in this manuscript.</w:t>
      </w:r>
    </w:p>
    <w:p w14:paraId="47E66995" w14:textId="77777777" w:rsidR="00E65594" w:rsidRPr="00853CD5" w:rsidRDefault="00E65594" w:rsidP="00853CD5">
      <w:pPr>
        <w:pStyle w:val="Heading-AGU"/>
      </w:pPr>
      <w:r w:rsidRPr="00853CD5">
        <w:t>Conflict of Interest Statement</w:t>
      </w:r>
    </w:p>
    <w:p w14:paraId="140F5D0C" w14:textId="2387F68E" w:rsidR="00E65594" w:rsidRPr="00853CD5" w:rsidRDefault="00E65594" w:rsidP="00E65594">
      <w:pPr>
        <w:rPr>
          <w:sz w:val="24"/>
          <w:szCs w:val="24"/>
        </w:rPr>
      </w:pPr>
      <w:r w:rsidRPr="00853CD5">
        <w:rPr>
          <w:sz w:val="24"/>
          <w:szCs w:val="24"/>
        </w:rPr>
        <w:t>The authors have no relevant financial or non-financial interests to disclose.</w:t>
      </w:r>
    </w:p>
    <w:p w14:paraId="2C71556D" w14:textId="77777777" w:rsidR="00E65594" w:rsidRPr="00853CD5" w:rsidRDefault="00E65594" w:rsidP="00853CD5">
      <w:pPr>
        <w:pStyle w:val="Heading-AGU"/>
      </w:pPr>
      <w:r w:rsidRPr="00853CD5">
        <w:t>References</w:t>
      </w:r>
    </w:p>
    <w:p w14:paraId="12E6F5B1" w14:textId="77777777" w:rsidR="00E65594" w:rsidRPr="00853CD5" w:rsidRDefault="00E65594" w:rsidP="003647B7">
      <w:pPr>
        <w:pStyle w:val="Bibliography"/>
        <w:ind w:left="567" w:hanging="567"/>
        <w:rPr>
          <w:rFonts w:ascii="Times New Roman" w:hAnsi="Times New Roman" w:cs="Times New Roman"/>
          <w:sz w:val="24"/>
          <w:szCs w:val="24"/>
        </w:rPr>
      </w:pPr>
      <w:r w:rsidRPr="00853CD5">
        <w:rPr>
          <w:rFonts w:ascii="Times New Roman" w:hAnsi="Times New Roman" w:cs="Times New Roman"/>
          <w:sz w:val="24"/>
          <w:szCs w:val="24"/>
        </w:rPr>
        <w:fldChar w:fldCharType="begin"/>
      </w:r>
      <w:r w:rsidRPr="00853CD5">
        <w:rPr>
          <w:rFonts w:ascii="Times New Roman" w:hAnsi="Times New Roman" w:cs="Times New Roman"/>
          <w:sz w:val="24"/>
          <w:szCs w:val="24"/>
        </w:rPr>
        <w:instrText xml:space="preserve"> ADDIN ZOTERO_BIBL {"uncited":[["http://zotero.org/users/1958668/items/WYGENZRT"],["http://zotero.org/users/1958668/items/6HZLTTDQ"],["http://zotero.org/users/1958668/items/XLBWREI7"]],"omitted":[],"custom":[]} CSL_BIBLIOGRAPHY </w:instrText>
      </w:r>
      <w:r w:rsidRPr="00853CD5">
        <w:rPr>
          <w:rFonts w:ascii="Times New Roman" w:hAnsi="Times New Roman" w:cs="Times New Roman"/>
          <w:sz w:val="24"/>
          <w:szCs w:val="24"/>
        </w:rPr>
        <w:fldChar w:fldCharType="separate"/>
      </w:r>
      <w:r w:rsidRPr="00853CD5">
        <w:rPr>
          <w:rFonts w:ascii="Times New Roman" w:hAnsi="Times New Roman" w:cs="Times New Roman"/>
          <w:sz w:val="24"/>
          <w:szCs w:val="24"/>
        </w:rPr>
        <w:t xml:space="preserve">Avdeev, B., Niemi, N.A., 2011. Rapid Pliocene exhumation of the central Greater Caucasus constrained by </w:t>
      </w:r>
      <w:proofErr w:type="gramStart"/>
      <w:r w:rsidRPr="00853CD5">
        <w:rPr>
          <w:rFonts w:ascii="Times New Roman" w:hAnsi="Times New Roman" w:cs="Times New Roman"/>
          <w:sz w:val="24"/>
          <w:szCs w:val="24"/>
        </w:rPr>
        <w:t>low-temperature</w:t>
      </w:r>
      <w:proofErr w:type="gramEnd"/>
      <w:r w:rsidRPr="00853CD5">
        <w:rPr>
          <w:rFonts w:ascii="Times New Roman" w:hAnsi="Times New Roman" w:cs="Times New Roman"/>
          <w:sz w:val="24"/>
          <w:szCs w:val="24"/>
        </w:rPr>
        <w:t xml:space="preserve"> </w:t>
      </w:r>
      <w:proofErr w:type="spellStart"/>
      <w:r w:rsidRPr="00853CD5">
        <w:rPr>
          <w:rFonts w:ascii="Times New Roman" w:hAnsi="Times New Roman" w:cs="Times New Roman"/>
          <w:sz w:val="24"/>
          <w:szCs w:val="24"/>
        </w:rPr>
        <w:t>thermochronometry</w:t>
      </w:r>
      <w:proofErr w:type="spellEnd"/>
      <w:r w:rsidRPr="00853CD5">
        <w:rPr>
          <w:rFonts w:ascii="Times New Roman" w:hAnsi="Times New Roman" w:cs="Times New Roman"/>
          <w:sz w:val="24"/>
          <w:szCs w:val="24"/>
        </w:rPr>
        <w:t>. Tectonics 30. https://doi.org/10.1029/2010TC002808</w:t>
      </w:r>
    </w:p>
    <w:p w14:paraId="416C3887" w14:textId="77777777" w:rsidR="00E65594" w:rsidRPr="00853CD5" w:rsidRDefault="00E65594" w:rsidP="003647B7">
      <w:pPr>
        <w:pStyle w:val="Bibliography"/>
        <w:ind w:left="567" w:hanging="567"/>
        <w:rPr>
          <w:rFonts w:ascii="Times New Roman" w:hAnsi="Times New Roman" w:cs="Times New Roman"/>
          <w:sz w:val="24"/>
          <w:szCs w:val="24"/>
        </w:rPr>
      </w:pPr>
      <w:proofErr w:type="spellStart"/>
      <w:r w:rsidRPr="00853CD5">
        <w:rPr>
          <w:rFonts w:ascii="Times New Roman" w:hAnsi="Times New Roman" w:cs="Times New Roman"/>
          <w:sz w:val="24"/>
          <w:szCs w:val="24"/>
        </w:rPr>
        <w:t>Bronk</w:t>
      </w:r>
      <w:proofErr w:type="spellEnd"/>
      <w:r w:rsidRPr="00853CD5">
        <w:rPr>
          <w:rFonts w:ascii="Times New Roman" w:hAnsi="Times New Roman" w:cs="Times New Roman"/>
          <w:sz w:val="24"/>
          <w:szCs w:val="24"/>
        </w:rPr>
        <w:t xml:space="preserve"> Ramsey, C., 1995. Radiocarbon Calibration and Analysis of Stratigraphy: The </w:t>
      </w:r>
      <w:proofErr w:type="spellStart"/>
      <w:r w:rsidRPr="00853CD5">
        <w:rPr>
          <w:rFonts w:ascii="Times New Roman" w:hAnsi="Times New Roman" w:cs="Times New Roman"/>
          <w:sz w:val="24"/>
          <w:szCs w:val="24"/>
        </w:rPr>
        <w:t>OxCal</w:t>
      </w:r>
      <w:proofErr w:type="spellEnd"/>
      <w:r w:rsidRPr="00853CD5">
        <w:rPr>
          <w:rFonts w:ascii="Times New Roman" w:hAnsi="Times New Roman" w:cs="Times New Roman"/>
          <w:sz w:val="24"/>
          <w:szCs w:val="24"/>
        </w:rPr>
        <w:t xml:space="preserve"> Program. Radiocarbon 37, 425–430. https://doi.org/10.1017/S0033822200030903</w:t>
      </w:r>
    </w:p>
    <w:p w14:paraId="6FC179D8" w14:textId="77777777" w:rsidR="00E65594" w:rsidRPr="00853CD5" w:rsidRDefault="00E65594" w:rsidP="003647B7">
      <w:pPr>
        <w:pStyle w:val="Bibliography"/>
        <w:ind w:left="567" w:hanging="567"/>
        <w:rPr>
          <w:rFonts w:ascii="Times New Roman" w:hAnsi="Times New Roman" w:cs="Times New Roman"/>
          <w:sz w:val="24"/>
          <w:szCs w:val="24"/>
        </w:rPr>
      </w:pPr>
      <w:r w:rsidRPr="00853CD5">
        <w:rPr>
          <w:rFonts w:ascii="Times New Roman" w:hAnsi="Times New Roman" w:cs="Times New Roman"/>
          <w:sz w:val="24"/>
          <w:szCs w:val="24"/>
        </w:rPr>
        <w:t xml:space="preserve">Cowgill, E., Forte, A.M., Niemi, N., Avdeev, B., </w:t>
      </w:r>
      <w:proofErr w:type="spellStart"/>
      <w:r w:rsidRPr="00853CD5">
        <w:rPr>
          <w:rFonts w:ascii="Times New Roman" w:hAnsi="Times New Roman" w:cs="Times New Roman"/>
          <w:sz w:val="24"/>
          <w:szCs w:val="24"/>
        </w:rPr>
        <w:t>Tye</w:t>
      </w:r>
      <w:proofErr w:type="spellEnd"/>
      <w:r w:rsidRPr="00853CD5">
        <w:rPr>
          <w:rFonts w:ascii="Times New Roman" w:hAnsi="Times New Roman" w:cs="Times New Roman"/>
          <w:sz w:val="24"/>
          <w:szCs w:val="24"/>
        </w:rPr>
        <w:t xml:space="preserve">, A., Trexler, C., Javakhishvili, Z., </w:t>
      </w:r>
      <w:proofErr w:type="spellStart"/>
      <w:r w:rsidRPr="00853CD5">
        <w:rPr>
          <w:rFonts w:ascii="Times New Roman" w:hAnsi="Times New Roman" w:cs="Times New Roman"/>
          <w:sz w:val="24"/>
          <w:szCs w:val="24"/>
        </w:rPr>
        <w:t>Elashvili</w:t>
      </w:r>
      <w:proofErr w:type="spellEnd"/>
      <w:r w:rsidRPr="00853CD5">
        <w:rPr>
          <w:rFonts w:ascii="Times New Roman" w:hAnsi="Times New Roman" w:cs="Times New Roman"/>
          <w:sz w:val="24"/>
          <w:szCs w:val="24"/>
        </w:rPr>
        <w:t xml:space="preserve">, M., </w:t>
      </w:r>
      <w:proofErr w:type="spellStart"/>
      <w:r w:rsidRPr="00853CD5">
        <w:rPr>
          <w:rFonts w:ascii="Times New Roman" w:hAnsi="Times New Roman" w:cs="Times New Roman"/>
          <w:sz w:val="24"/>
          <w:szCs w:val="24"/>
        </w:rPr>
        <w:t>Godoladze</w:t>
      </w:r>
      <w:proofErr w:type="spellEnd"/>
      <w:r w:rsidRPr="00853CD5">
        <w:rPr>
          <w:rFonts w:ascii="Times New Roman" w:hAnsi="Times New Roman" w:cs="Times New Roman"/>
          <w:sz w:val="24"/>
          <w:szCs w:val="24"/>
        </w:rPr>
        <w:t>, T., 2016. Relict basin closure and crustal shortening budgets during continental collision: An example from Caucasus sediment provenance. Tectonics 35, 2918–2947. https://doi.org/10.1002/2016TC004295</w:t>
      </w:r>
    </w:p>
    <w:p w14:paraId="6C6C3566" w14:textId="77777777" w:rsidR="00E65594" w:rsidRPr="00853CD5" w:rsidRDefault="00E65594" w:rsidP="003647B7">
      <w:pPr>
        <w:pStyle w:val="Bibliography"/>
        <w:ind w:left="567" w:hanging="567"/>
        <w:rPr>
          <w:rFonts w:ascii="Times New Roman" w:hAnsi="Times New Roman" w:cs="Times New Roman"/>
          <w:sz w:val="24"/>
          <w:szCs w:val="24"/>
        </w:rPr>
      </w:pPr>
      <w:r w:rsidRPr="00853CD5">
        <w:rPr>
          <w:rFonts w:ascii="Times New Roman" w:hAnsi="Times New Roman" w:cs="Times New Roman"/>
          <w:sz w:val="24"/>
          <w:szCs w:val="24"/>
        </w:rPr>
        <w:t xml:space="preserve">Forte, A.M., Cowgill, E., </w:t>
      </w:r>
      <w:proofErr w:type="spellStart"/>
      <w:r w:rsidRPr="00853CD5">
        <w:rPr>
          <w:rFonts w:ascii="Times New Roman" w:hAnsi="Times New Roman" w:cs="Times New Roman"/>
          <w:sz w:val="24"/>
          <w:szCs w:val="24"/>
        </w:rPr>
        <w:t>Murtuzayev</w:t>
      </w:r>
      <w:proofErr w:type="spellEnd"/>
      <w:r w:rsidRPr="00853CD5">
        <w:rPr>
          <w:rFonts w:ascii="Times New Roman" w:hAnsi="Times New Roman" w:cs="Times New Roman"/>
          <w:sz w:val="24"/>
          <w:szCs w:val="24"/>
        </w:rPr>
        <w:t xml:space="preserve">, I., </w:t>
      </w:r>
      <w:proofErr w:type="spellStart"/>
      <w:r w:rsidRPr="00853CD5">
        <w:rPr>
          <w:rFonts w:ascii="Times New Roman" w:hAnsi="Times New Roman" w:cs="Times New Roman"/>
          <w:sz w:val="24"/>
          <w:szCs w:val="24"/>
        </w:rPr>
        <w:t>Kangarli</w:t>
      </w:r>
      <w:proofErr w:type="spellEnd"/>
      <w:r w:rsidRPr="00853CD5">
        <w:rPr>
          <w:rFonts w:ascii="Times New Roman" w:hAnsi="Times New Roman" w:cs="Times New Roman"/>
          <w:sz w:val="24"/>
          <w:szCs w:val="24"/>
        </w:rPr>
        <w:t xml:space="preserve">, T., </w:t>
      </w:r>
      <w:proofErr w:type="spellStart"/>
      <w:r w:rsidRPr="00853CD5">
        <w:rPr>
          <w:rFonts w:ascii="Times New Roman" w:hAnsi="Times New Roman" w:cs="Times New Roman"/>
          <w:sz w:val="24"/>
          <w:szCs w:val="24"/>
        </w:rPr>
        <w:t>Stoica</w:t>
      </w:r>
      <w:proofErr w:type="spellEnd"/>
      <w:r w:rsidRPr="00853CD5">
        <w:rPr>
          <w:rFonts w:ascii="Times New Roman" w:hAnsi="Times New Roman" w:cs="Times New Roman"/>
          <w:sz w:val="24"/>
          <w:szCs w:val="24"/>
        </w:rPr>
        <w:t>, M., 2013. Structural geometries and magnitude of shortening in the eastern Kura fold-thrust belt, Azerbaijan: Implications for the development of the Greater Caucasus Mountains. Tectonics 32, 688–717. https://doi.org/10.1002/tect.20032</w:t>
      </w:r>
    </w:p>
    <w:p w14:paraId="0E49737B" w14:textId="77777777" w:rsidR="00E65594" w:rsidRPr="00853CD5" w:rsidRDefault="00E65594" w:rsidP="003647B7">
      <w:pPr>
        <w:pStyle w:val="Bibliography"/>
        <w:ind w:left="567" w:hanging="567"/>
        <w:rPr>
          <w:rFonts w:ascii="Times New Roman" w:hAnsi="Times New Roman" w:cs="Times New Roman"/>
          <w:sz w:val="24"/>
          <w:szCs w:val="24"/>
        </w:rPr>
      </w:pPr>
      <w:r w:rsidRPr="00853CD5">
        <w:rPr>
          <w:rFonts w:ascii="Times New Roman" w:hAnsi="Times New Roman" w:cs="Times New Roman"/>
          <w:sz w:val="24"/>
          <w:szCs w:val="24"/>
        </w:rPr>
        <w:t xml:space="preserve">Forte, A.M., Sumner, D.Y., Cowgill, E., </w:t>
      </w:r>
      <w:proofErr w:type="spellStart"/>
      <w:r w:rsidRPr="00853CD5">
        <w:rPr>
          <w:rFonts w:ascii="Times New Roman" w:hAnsi="Times New Roman" w:cs="Times New Roman"/>
          <w:sz w:val="24"/>
          <w:szCs w:val="24"/>
        </w:rPr>
        <w:t>Stoica</w:t>
      </w:r>
      <w:proofErr w:type="spellEnd"/>
      <w:r w:rsidRPr="00853CD5">
        <w:rPr>
          <w:rFonts w:ascii="Times New Roman" w:hAnsi="Times New Roman" w:cs="Times New Roman"/>
          <w:sz w:val="24"/>
          <w:szCs w:val="24"/>
        </w:rPr>
        <w:t xml:space="preserve">, M., </w:t>
      </w:r>
      <w:proofErr w:type="spellStart"/>
      <w:r w:rsidRPr="00853CD5">
        <w:rPr>
          <w:rFonts w:ascii="Times New Roman" w:hAnsi="Times New Roman" w:cs="Times New Roman"/>
          <w:sz w:val="24"/>
          <w:szCs w:val="24"/>
        </w:rPr>
        <w:t>Murtuzayev</w:t>
      </w:r>
      <w:proofErr w:type="spellEnd"/>
      <w:r w:rsidRPr="00853CD5">
        <w:rPr>
          <w:rFonts w:ascii="Times New Roman" w:hAnsi="Times New Roman" w:cs="Times New Roman"/>
          <w:sz w:val="24"/>
          <w:szCs w:val="24"/>
        </w:rPr>
        <w:t xml:space="preserve">, I., </w:t>
      </w:r>
      <w:proofErr w:type="spellStart"/>
      <w:r w:rsidRPr="00853CD5">
        <w:rPr>
          <w:rFonts w:ascii="Times New Roman" w:hAnsi="Times New Roman" w:cs="Times New Roman"/>
          <w:sz w:val="24"/>
          <w:szCs w:val="24"/>
        </w:rPr>
        <w:t>Kangarli</w:t>
      </w:r>
      <w:proofErr w:type="spellEnd"/>
      <w:r w:rsidRPr="00853CD5">
        <w:rPr>
          <w:rFonts w:ascii="Times New Roman" w:hAnsi="Times New Roman" w:cs="Times New Roman"/>
          <w:sz w:val="24"/>
          <w:szCs w:val="24"/>
        </w:rPr>
        <w:t xml:space="preserve">, T., </w:t>
      </w:r>
      <w:proofErr w:type="spellStart"/>
      <w:r w:rsidRPr="00853CD5">
        <w:rPr>
          <w:rFonts w:ascii="Times New Roman" w:hAnsi="Times New Roman" w:cs="Times New Roman"/>
          <w:sz w:val="24"/>
          <w:szCs w:val="24"/>
        </w:rPr>
        <w:t>Elashvili</w:t>
      </w:r>
      <w:proofErr w:type="spellEnd"/>
      <w:r w:rsidRPr="00853CD5">
        <w:rPr>
          <w:rFonts w:ascii="Times New Roman" w:hAnsi="Times New Roman" w:cs="Times New Roman"/>
          <w:sz w:val="24"/>
          <w:szCs w:val="24"/>
        </w:rPr>
        <w:t xml:space="preserve">, M., </w:t>
      </w:r>
      <w:proofErr w:type="spellStart"/>
      <w:r w:rsidRPr="00853CD5">
        <w:rPr>
          <w:rFonts w:ascii="Times New Roman" w:hAnsi="Times New Roman" w:cs="Times New Roman"/>
          <w:sz w:val="24"/>
          <w:szCs w:val="24"/>
        </w:rPr>
        <w:t>Godoladze</w:t>
      </w:r>
      <w:proofErr w:type="spellEnd"/>
      <w:r w:rsidRPr="00853CD5">
        <w:rPr>
          <w:rFonts w:ascii="Times New Roman" w:hAnsi="Times New Roman" w:cs="Times New Roman"/>
          <w:sz w:val="24"/>
          <w:szCs w:val="24"/>
        </w:rPr>
        <w:t>, T., Javakhishvili, Z., 2015. Late Miocene to Pliocene stratigraphy of the Kura Basin, a subbasin of the South Caspian Basin: implications for the diachroneity of stage boundaries. Basin Res. 27, 247–271. https://doi.org/10.1111/bre.12069</w:t>
      </w:r>
    </w:p>
    <w:p w14:paraId="32DFFF0A" w14:textId="77777777" w:rsidR="00E65594" w:rsidRPr="00853CD5" w:rsidRDefault="00E65594" w:rsidP="003647B7">
      <w:pPr>
        <w:pStyle w:val="Bibliography"/>
        <w:ind w:left="567" w:hanging="567"/>
        <w:rPr>
          <w:rFonts w:ascii="Times New Roman" w:hAnsi="Times New Roman" w:cs="Times New Roman"/>
          <w:sz w:val="24"/>
          <w:szCs w:val="24"/>
        </w:rPr>
      </w:pPr>
      <w:r w:rsidRPr="00853CD5">
        <w:rPr>
          <w:rFonts w:ascii="Times New Roman" w:hAnsi="Times New Roman" w:cs="Times New Roman"/>
          <w:sz w:val="24"/>
          <w:szCs w:val="24"/>
        </w:rPr>
        <w:t xml:space="preserve">Gunnels, M., </w:t>
      </w:r>
      <w:proofErr w:type="spellStart"/>
      <w:r w:rsidRPr="00853CD5">
        <w:rPr>
          <w:rFonts w:ascii="Times New Roman" w:hAnsi="Times New Roman" w:cs="Times New Roman"/>
          <w:sz w:val="24"/>
          <w:szCs w:val="24"/>
        </w:rPr>
        <w:t>Yetrimishli</w:t>
      </w:r>
      <w:proofErr w:type="spellEnd"/>
      <w:r w:rsidRPr="00853CD5">
        <w:rPr>
          <w:rFonts w:ascii="Times New Roman" w:hAnsi="Times New Roman" w:cs="Times New Roman"/>
          <w:sz w:val="24"/>
          <w:szCs w:val="24"/>
        </w:rPr>
        <w:t xml:space="preserve">, G., Kazimova, S., </w:t>
      </w:r>
      <w:proofErr w:type="spellStart"/>
      <w:r w:rsidRPr="00853CD5">
        <w:rPr>
          <w:rFonts w:ascii="Times New Roman" w:hAnsi="Times New Roman" w:cs="Times New Roman"/>
          <w:sz w:val="24"/>
          <w:szCs w:val="24"/>
        </w:rPr>
        <w:t>Sandvol</w:t>
      </w:r>
      <w:proofErr w:type="spellEnd"/>
      <w:r w:rsidRPr="00853CD5">
        <w:rPr>
          <w:rFonts w:ascii="Times New Roman" w:hAnsi="Times New Roman" w:cs="Times New Roman"/>
          <w:sz w:val="24"/>
          <w:szCs w:val="24"/>
        </w:rPr>
        <w:t xml:space="preserve">, E., 2021. Seismotectonic evidence for subduction beneath the Eastern Greater Caucasus. </w:t>
      </w:r>
      <w:proofErr w:type="spellStart"/>
      <w:r w:rsidRPr="00853CD5">
        <w:rPr>
          <w:rFonts w:ascii="Times New Roman" w:hAnsi="Times New Roman" w:cs="Times New Roman"/>
          <w:sz w:val="24"/>
          <w:szCs w:val="24"/>
        </w:rPr>
        <w:t>Geophys</w:t>
      </w:r>
      <w:proofErr w:type="spellEnd"/>
      <w:r w:rsidRPr="00853CD5">
        <w:rPr>
          <w:rFonts w:ascii="Times New Roman" w:hAnsi="Times New Roman" w:cs="Times New Roman"/>
          <w:sz w:val="24"/>
          <w:szCs w:val="24"/>
        </w:rPr>
        <w:t>. J. Int. 224, 1825–1834. https://doi.org/10.1093/gji/ggaa522</w:t>
      </w:r>
    </w:p>
    <w:p w14:paraId="5647F5CD" w14:textId="77777777" w:rsidR="00E65594" w:rsidRPr="00853CD5" w:rsidRDefault="00E65594" w:rsidP="003647B7">
      <w:pPr>
        <w:pStyle w:val="Bibliography"/>
        <w:ind w:left="567" w:hanging="567"/>
        <w:rPr>
          <w:rFonts w:ascii="Times New Roman" w:hAnsi="Times New Roman" w:cs="Times New Roman"/>
          <w:sz w:val="24"/>
          <w:szCs w:val="24"/>
        </w:rPr>
      </w:pPr>
      <w:r w:rsidRPr="00853CD5">
        <w:rPr>
          <w:rFonts w:ascii="Times New Roman" w:hAnsi="Times New Roman" w:cs="Times New Roman"/>
          <w:sz w:val="24"/>
          <w:szCs w:val="24"/>
        </w:rPr>
        <w:t xml:space="preserve">Hanks, T.C., Kanamori, H., 1979. A moment magnitude scale. J. </w:t>
      </w:r>
      <w:proofErr w:type="spellStart"/>
      <w:r w:rsidRPr="00853CD5">
        <w:rPr>
          <w:rFonts w:ascii="Times New Roman" w:hAnsi="Times New Roman" w:cs="Times New Roman"/>
          <w:sz w:val="24"/>
          <w:szCs w:val="24"/>
        </w:rPr>
        <w:t>Geophys</w:t>
      </w:r>
      <w:proofErr w:type="spellEnd"/>
      <w:r w:rsidRPr="00853CD5">
        <w:rPr>
          <w:rFonts w:ascii="Times New Roman" w:hAnsi="Times New Roman" w:cs="Times New Roman"/>
          <w:sz w:val="24"/>
          <w:szCs w:val="24"/>
        </w:rPr>
        <w:t>. Res. Solid Earth 84, 2348–2350. https://doi.org/10.1029/JB084iB05p02348</w:t>
      </w:r>
    </w:p>
    <w:p w14:paraId="21ADAB24" w14:textId="77777777" w:rsidR="00E65594" w:rsidRPr="00853CD5" w:rsidRDefault="00E65594" w:rsidP="003647B7">
      <w:pPr>
        <w:pStyle w:val="Bibliography"/>
        <w:ind w:left="567" w:hanging="567"/>
        <w:rPr>
          <w:rFonts w:ascii="Times New Roman" w:hAnsi="Times New Roman" w:cs="Times New Roman"/>
          <w:sz w:val="24"/>
          <w:szCs w:val="24"/>
        </w:rPr>
      </w:pPr>
      <w:r w:rsidRPr="00853CD5">
        <w:rPr>
          <w:rFonts w:ascii="Times New Roman" w:hAnsi="Times New Roman" w:cs="Times New Roman"/>
          <w:sz w:val="24"/>
          <w:szCs w:val="24"/>
        </w:rPr>
        <w:t xml:space="preserve">Ismail-Zadeh, A., </w:t>
      </w:r>
      <w:proofErr w:type="spellStart"/>
      <w:r w:rsidRPr="00853CD5">
        <w:rPr>
          <w:rFonts w:ascii="Times New Roman" w:hAnsi="Times New Roman" w:cs="Times New Roman"/>
          <w:sz w:val="24"/>
          <w:szCs w:val="24"/>
        </w:rPr>
        <w:t>Adamia</w:t>
      </w:r>
      <w:proofErr w:type="spellEnd"/>
      <w:r w:rsidRPr="00853CD5">
        <w:rPr>
          <w:rFonts w:ascii="Times New Roman" w:hAnsi="Times New Roman" w:cs="Times New Roman"/>
          <w:sz w:val="24"/>
          <w:szCs w:val="24"/>
        </w:rPr>
        <w:t xml:space="preserve">, S., </w:t>
      </w:r>
      <w:proofErr w:type="spellStart"/>
      <w:r w:rsidRPr="00853CD5">
        <w:rPr>
          <w:rFonts w:ascii="Times New Roman" w:hAnsi="Times New Roman" w:cs="Times New Roman"/>
          <w:sz w:val="24"/>
          <w:szCs w:val="24"/>
        </w:rPr>
        <w:t>Chabukiani</w:t>
      </w:r>
      <w:proofErr w:type="spellEnd"/>
      <w:r w:rsidRPr="00853CD5">
        <w:rPr>
          <w:rFonts w:ascii="Times New Roman" w:hAnsi="Times New Roman" w:cs="Times New Roman"/>
          <w:sz w:val="24"/>
          <w:szCs w:val="24"/>
        </w:rPr>
        <w:t xml:space="preserve">, A., </w:t>
      </w:r>
      <w:proofErr w:type="spellStart"/>
      <w:r w:rsidRPr="00853CD5">
        <w:rPr>
          <w:rFonts w:ascii="Times New Roman" w:hAnsi="Times New Roman" w:cs="Times New Roman"/>
          <w:sz w:val="24"/>
          <w:szCs w:val="24"/>
        </w:rPr>
        <w:t>Chelidze</w:t>
      </w:r>
      <w:proofErr w:type="spellEnd"/>
      <w:r w:rsidRPr="00853CD5">
        <w:rPr>
          <w:rFonts w:ascii="Times New Roman" w:hAnsi="Times New Roman" w:cs="Times New Roman"/>
          <w:sz w:val="24"/>
          <w:szCs w:val="24"/>
        </w:rPr>
        <w:t xml:space="preserve">, T., </w:t>
      </w:r>
      <w:proofErr w:type="spellStart"/>
      <w:r w:rsidRPr="00853CD5">
        <w:rPr>
          <w:rFonts w:ascii="Times New Roman" w:hAnsi="Times New Roman" w:cs="Times New Roman"/>
          <w:sz w:val="24"/>
          <w:szCs w:val="24"/>
        </w:rPr>
        <w:t>Cloetingh</w:t>
      </w:r>
      <w:proofErr w:type="spellEnd"/>
      <w:r w:rsidRPr="00853CD5">
        <w:rPr>
          <w:rFonts w:ascii="Times New Roman" w:hAnsi="Times New Roman" w:cs="Times New Roman"/>
          <w:sz w:val="24"/>
          <w:szCs w:val="24"/>
        </w:rPr>
        <w:t xml:space="preserve">, S., Floyd, M., Gorshkov, A., </w:t>
      </w:r>
      <w:proofErr w:type="spellStart"/>
      <w:r w:rsidRPr="00853CD5">
        <w:rPr>
          <w:rFonts w:ascii="Times New Roman" w:hAnsi="Times New Roman" w:cs="Times New Roman"/>
          <w:sz w:val="24"/>
          <w:szCs w:val="24"/>
        </w:rPr>
        <w:t>Gvishiani</w:t>
      </w:r>
      <w:proofErr w:type="spellEnd"/>
      <w:r w:rsidRPr="00853CD5">
        <w:rPr>
          <w:rFonts w:ascii="Times New Roman" w:hAnsi="Times New Roman" w:cs="Times New Roman"/>
          <w:sz w:val="24"/>
          <w:szCs w:val="24"/>
        </w:rPr>
        <w:t xml:space="preserve">, A., Ismail-Zadeh, T., </w:t>
      </w:r>
      <w:proofErr w:type="spellStart"/>
      <w:r w:rsidRPr="00853CD5">
        <w:rPr>
          <w:rFonts w:ascii="Times New Roman" w:hAnsi="Times New Roman" w:cs="Times New Roman"/>
          <w:sz w:val="24"/>
          <w:szCs w:val="24"/>
        </w:rPr>
        <w:t>Kaban</w:t>
      </w:r>
      <w:proofErr w:type="spellEnd"/>
      <w:r w:rsidRPr="00853CD5">
        <w:rPr>
          <w:rFonts w:ascii="Times New Roman" w:hAnsi="Times New Roman" w:cs="Times New Roman"/>
          <w:sz w:val="24"/>
          <w:szCs w:val="24"/>
        </w:rPr>
        <w:t xml:space="preserve">, M.K., </w:t>
      </w:r>
      <w:proofErr w:type="spellStart"/>
      <w:r w:rsidRPr="00853CD5">
        <w:rPr>
          <w:rFonts w:ascii="Times New Roman" w:hAnsi="Times New Roman" w:cs="Times New Roman"/>
          <w:sz w:val="24"/>
          <w:szCs w:val="24"/>
        </w:rPr>
        <w:t>Kadirov</w:t>
      </w:r>
      <w:proofErr w:type="spellEnd"/>
      <w:r w:rsidRPr="00853CD5">
        <w:rPr>
          <w:rFonts w:ascii="Times New Roman" w:hAnsi="Times New Roman" w:cs="Times New Roman"/>
          <w:sz w:val="24"/>
          <w:szCs w:val="24"/>
        </w:rPr>
        <w:t xml:space="preserve">, F., </w:t>
      </w:r>
      <w:proofErr w:type="spellStart"/>
      <w:r w:rsidRPr="00853CD5">
        <w:rPr>
          <w:rFonts w:ascii="Times New Roman" w:hAnsi="Times New Roman" w:cs="Times New Roman"/>
          <w:sz w:val="24"/>
          <w:szCs w:val="24"/>
        </w:rPr>
        <w:t>Karapetyan</w:t>
      </w:r>
      <w:proofErr w:type="spellEnd"/>
      <w:r w:rsidRPr="00853CD5">
        <w:rPr>
          <w:rFonts w:ascii="Times New Roman" w:hAnsi="Times New Roman" w:cs="Times New Roman"/>
          <w:sz w:val="24"/>
          <w:szCs w:val="24"/>
        </w:rPr>
        <w:t xml:space="preserve">, J., </w:t>
      </w:r>
      <w:proofErr w:type="spellStart"/>
      <w:r w:rsidRPr="00853CD5">
        <w:rPr>
          <w:rFonts w:ascii="Times New Roman" w:hAnsi="Times New Roman" w:cs="Times New Roman"/>
          <w:sz w:val="24"/>
          <w:szCs w:val="24"/>
        </w:rPr>
        <w:t>Kangarli</w:t>
      </w:r>
      <w:proofErr w:type="spellEnd"/>
      <w:r w:rsidRPr="00853CD5">
        <w:rPr>
          <w:rFonts w:ascii="Times New Roman" w:hAnsi="Times New Roman" w:cs="Times New Roman"/>
          <w:sz w:val="24"/>
          <w:szCs w:val="24"/>
        </w:rPr>
        <w:t xml:space="preserve">, T., </w:t>
      </w:r>
      <w:proofErr w:type="spellStart"/>
      <w:r w:rsidRPr="00853CD5">
        <w:rPr>
          <w:rFonts w:ascii="Times New Roman" w:hAnsi="Times New Roman" w:cs="Times New Roman"/>
          <w:sz w:val="24"/>
          <w:szCs w:val="24"/>
        </w:rPr>
        <w:t>Kiria</w:t>
      </w:r>
      <w:proofErr w:type="spellEnd"/>
      <w:r w:rsidRPr="00853CD5">
        <w:rPr>
          <w:rFonts w:ascii="Times New Roman" w:hAnsi="Times New Roman" w:cs="Times New Roman"/>
          <w:sz w:val="24"/>
          <w:szCs w:val="24"/>
        </w:rPr>
        <w:t xml:space="preserve">, J., </w:t>
      </w:r>
      <w:proofErr w:type="spellStart"/>
      <w:r w:rsidRPr="00853CD5">
        <w:rPr>
          <w:rFonts w:ascii="Times New Roman" w:hAnsi="Times New Roman" w:cs="Times New Roman"/>
          <w:sz w:val="24"/>
          <w:szCs w:val="24"/>
        </w:rPr>
        <w:t>Koulakov</w:t>
      </w:r>
      <w:proofErr w:type="spellEnd"/>
      <w:r w:rsidRPr="00853CD5">
        <w:rPr>
          <w:rFonts w:ascii="Times New Roman" w:hAnsi="Times New Roman" w:cs="Times New Roman"/>
          <w:sz w:val="24"/>
          <w:szCs w:val="24"/>
        </w:rPr>
        <w:t xml:space="preserve">, I., </w:t>
      </w:r>
      <w:proofErr w:type="spellStart"/>
      <w:r w:rsidRPr="00853CD5">
        <w:rPr>
          <w:rFonts w:ascii="Times New Roman" w:hAnsi="Times New Roman" w:cs="Times New Roman"/>
          <w:sz w:val="24"/>
          <w:szCs w:val="24"/>
        </w:rPr>
        <w:t>Mosar</w:t>
      </w:r>
      <w:proofErr w:type="spellEnd"/>
      <w:r w:rsidRPr="00853CD5">
        <w:rPr>
          <w:rFonts w:ascii="Times New Roman" w:hAnsi="Times New Roman" w:cs="Times New Roman"/>
          <w:sz w:val="24"/>
          <w:szCs w:val="24"/>
        </w:rPr>
        <w:t xml:space="preserve">, J., </w:t>
      </w:r>
      <w:proofErr w:type="spellStart"/>
      <w:r w:rsidRPr="00853CD5">
        <w:rPr>
          <w:rFonts w:ascii="Times New Roman" w:hAnsi="Times New Roman" w:cs="Times New Roman"/>
          <w:sz w:val="24"/>
          <w:szCs w:val="24"/>
        </w:rPr>
        <w:t>Mumladze</w:t>
      </w:r>
      <w:proofErr w:type="spellEnd"/>
      <w:r w:rsidRPr="00853CD5">
        <w:rPr>
          <w:rFonts w:ascii="Times New Roman" w:hAnsi="Times New Roman" w:cs="Times New Roman"/>
          <w:sz w:val="24"/>
          <w:szCs w:val="24"/>
        </w:rPr>
        <w:t xml:space="preserve">, T., Müller, B., </w:t>
      </w:r>
      <w:proofErr w:type="spellStart"/>
      <w:r w:rsidRPr="00853CD5">
        <w:rPr>
          <w:rFonts w:ascii="Times New Roman" w:hAnsi="Times New Roman" w:cs="Times New Roman"/>
          <w:sz w:val="24"/>
          <w:szCs w:val="24"/>
        </w:rPr>
        <w:t>Sadradze</w:t>
      </w:r>
      <w:proofErr w:type="spellEnd"/>
      <w:r w:rsidRPr="00853CD5">
        <w:rPr>
          <w:rFonts w:ascii="Times New Roman" w:hAnsi="Times New Roman" w:cs="Times New Roman"/>
          <w:sz w:val="24"/>
          <w:szCs w:val="24"/>
        </w:rPr>
        <w:t>, N., Safarov, R., Schilling, F., Soloviev, A., 2020. Geodynamics, seismicity, and seismic hazards of the Caucasus. Earth-Sci. Rev. 207, 103222. https://doi.org/10.1016/j.earscirev.2020.103222</w:t>
      </w:r>
    </w:p>
    <w:p w14:paraId="1E8B4C9C" w14:textId="77777777" w:rsidR="00E65594" w:rsidRPr="00853CD5" w:rsidRDefault="00E65594" w:rsidP="003647B7">
      <w:pPr>
        <w:pStyle w:val="Bibliography"/>
        <w:ind w:left="567" w:hanging="567"/>
        <w:rPr>
          <w:rFonts w:ascii="Times New Roman" w:hAnsi="Times New Roman" w:cs="Times New Roman"/>
          <w:sz w:val="24"/>
          <w:szCs w:val="24"/>
        </w:rPr>
      </w:pPr>
      <w:r w:rsidRPr="00853CD5">
        <w:rPr>
          <w:rFonts w:ascii="Times New Roman" w:hAnsi="Times New Roman" w:cs="Times New Roman"/>
          <w:sz w:val="24"/>
          <w:szCs w:val="24"/>
        </w:rPr>
        <w:t xml:space="preserve">Jackson, J., Priestley, K., Allen, M., Berberian, M., 2002. Active tectonics of the South Caspian Basin. </w:t>
      </w:r>
      <w:proofErr w:type="spellStart"/>
      <w:r w:rsidRPr="00853CD5">
        <w:rPr>
          <w:rFonts w:ascii="Times New Roman" w:hAnsi="Times New Roman" w:cs="Times New Roman"/>
          <w:sz w:val="24"/>
          <w:szCs w:val="24"/>
        </w:rPr>
        <w:t>Geophys</w:t>
      </w:r>
      <w:proofErr w:type="spellEnd"/>
      <w:r w:rsidRPr="00853CD5">
        <w:rPr>
          <w:rFonts w:ascii="Times New Roman" w:hAnsi="Times New Roman" w:cs="Times New Roman"/>
          <w:sz w:val="24"/>
          <w:szCs w:val="24"/>
        </w:rPr>
        <w:t>. J. Int. 148, 214–245. https://doi.org/10.1046/j.1365-246X.2002.01588.x</w:t>
      </w:r>
    </w:p>
    <w:p w14:paraId="6106CFEA" w14:textId="77777777" w:rsidR="00E65594" w:rsidRPr="00853CD5" w:rsidRDefault="00E65594" w:rsidP="003647B7">
      <w:pPr>
        <w:pStyle w:val="Bibliography"/>
        <w:ind w:left="567" w:hanging="567"/>
        <w:rPr>
          <w:rFonts w:ascii="Times New Roman" w:hAnsi="Times New Roman" w:cs="Times New Roman"/>
          <w:sz w:val="24"/>
          <w:szCs w:val="24"/>
        </w:rPr>
      </w:pPr>
      <w:r w:rsidRPr="00853CD5">
        <w:rPr>
          <w:rFonts w:ascii="Times New Roman" w:hAnsi="Times New Roman" w:cs="Times New Roman"/>
          <w:sz w:val="24"/>
          <w:szCs w:val="24"/>
        </w:rPr>
        <w:t>Jackson, J.A., Ambraseys, N.N., 1997. Convergence between Eurasia and Arabia in eastern Turkey and the Caucasus, in: Historical and Prehistorical Earthquakes in the Caucasus, 28. pp. 79–90.</w:t>
      </w:r>
    </w:p>
    <w:p w14:paraId="5D633CA4" w14:textId="77777777" w:rsidR="00E65594" w:rsidRPr="00853CD5" w:rsidRDefault="00E65594" w:rsidP="003647B7">
      <w:pPr>
        <w:pStyle w:val="Bibliography"/>
        <w:ind w:left="567" w:hanging="567"/>
        <w:rPr>
          <w:rFonts w:ascii="Times New Roman" w:hAnsi="Times New Roman" w:cs="Times New Roman"/>
          <w:sz w:val="24"/>
          <w:szCs w:val="24"/>
        </w:rPr>
      </w:pPr>
      <w:proofErr w:type="spellStart"/>
      <w:r w:rsidRPr="00853CD5">
        <w:rPr>
          <w:rFonts w:ascii="Times New Roman" w:hAnsi="Times New Roman" w:cs="Times New Roman"/>
          <w:sz w:val="24"/>
          <w:szCs w:val="24"/>
        </w:rPr>
        <w:lastRenderedPageBreak/>
        <w:t>Kadirov</w:t>
      </w:r>
      <w:proofErr w:type="spellEnd"/>
      <w:r w:rsidRPr="00853CD5">
        <w:rPr>
          <w:rFonts w:ascii="Times New Roman" w:hAnsi="Times New Roman" w:cs="Times New Roman"/>
          <w:sz w:val="24"/>
          <w:szCs w:val="24"/>
        </w:rPr>
        <w:t xml:space="preserve">, F., Floyd, M., Alizadeh, A., </w:t>
      </w:r>
      <w:proofErr w:type="spellStart"/>
      <w:r w:rsidRPr="00853CD5">
        <w:rPr>
          <w:rFonts w:ascii="Times New Roman" w:hAnsi="Times New Roman" w:cs="Times New Roman"/>
          <w:sz w:val="24"/>
          <w:szCs w:val="24"/>
        </w:rPr>
        <w:t>Guliev</w:t>
      </w:r>
      <w:proofErr w:type="spellEnd"/>
      <w:r w:rsidRPr="00853CD5">
        <w:rPr>
          <w:rFonts w:ascii="Times New Roman" w:hAnsi="Times New Roman" w:cs="Times New Roman"/>
          <w:sz w:val="24"/>
          <w:szCs w:val="24"/>
        </w:rPr>
        <w:t xml:space="preserve">, I., </w:t>
      </w:r>
      <w:proofErr w:type="spellStart"/>
      <w:r w:rsidRPr="00853CD5">
        <w:rPr>
          <w:rFonts w:ascii="Times New Roman" w:hAnsi="Times New Roman" w:cs="Times New Roman"/>
          <w:sz w:val="24"/>
          <w:szCs w:val="24"/>
        </w:rPr>
        <w:t>Reilinger</w:t>
      </w:r>
      <w:proofErr w:type="spellEnd"/>
      <w:r w:rsidRPr="00853CD5">
        <w:rPr>
          <w:rFonts w:ascii="Times New Roman" w:hAnsi="Times New Roman" w:cs="Times New Roman"/>
          <w:sz w:val="24"/>
          <w:szCs w:val="24"/>
        </w:rPr>
        <w:t xml:space="preserve">, R., </w:t>
      </w:r>
      <w:proofErr w:type="spellStart"/>
      <w:r w:rsidRPr="00853CD5">
        <w:rPr>
          <w:rFonts w:ascii="Times New Roman" w:hAnsi="Times New Roman" w:cs="Times New Roman"/>
          <w:sz w:val="24"/>
          <w:szCs w:val="24"/>
        </w:rPr>
        <w:t>Kuleli</w:t>
      </w:r>
      <w:proofErr w:type="spellEnd"/>
      <w:r w:rsidRPr="00853CD5">
        <w:rPr>
          <w:rFonts w:ascii="Times New Roman" w:hAnsi="Times New Roman" w:cs="Times New Roman"/>
          <w:sz w:val="24"/>
          <w:szCs w:val="24"/>
        </w:rPr>
        <w:t xml:space="preserve">, S., King, R., </w:t>
      </w:r>
      <w:proofErr w:type="spellStart"/>
      <w:r w:rsidRPr="00853CD5">
        <w:rPr>
          <w:rFonts w:ascii="Times New Roman" w:hAnsi="Times New Roman" w:cs="Times New Roman"/>
          <w:sz w:val="24"/>
          <w:szCs w:val="24"/>
        </w:rPr>
        <w:t>Nafi</w:t>
      </w:r>
      <w:proofErr w:type="spellEnd"/>
      <w:r w:rsidRPr="00853CD5">
        <w:rPr>
          <w:rFonts w:ascii="Times New Roman" w:hAnsi="Times New Roman" w:cs="Times New Roman"/>
          <w:sz w:val="24"/>
          <w:szCs w:val="24"/>
        </w:rPr>
        <w:t xml:space="preserve"> </w:t>
      </w:r>
      <w:proofErr w:type="spellStart"/>
      <w:r w:rsidRPr="00853CD5">
        <w:rPr>
          <w:rFonts w:ascii="Times New Roman" w:hAnsi="Times New Roman" w:cs="Times New Roman"/>
          <w:sz w:val="24"/>
          <w:szCs w:val="24"/>
        </w:rPr>
        <w:t>Toksoz</w:t>
      </w:r>
      <w:proofErr w:type="spellEnd"/>
      <w:r w:rsidRPr="00853CD5">
        <w:rPr>
          <w:rFonts w:ascii="Times New Roman" w:hAnsi="Times New Roman" w:cs="Times New Roman"/>
          <w:sz w:val="24"/>
          <w:szCs w:val="24"/>
        </w:rPr>
        <w:t>, M., 2012. Kinematics of the eastern Caucasus near Baku, Azerbaijan. Nat. Hazards 63, 997–1006. https://doi.org/10.1007/s11069-012-0199-0</w:t>
      </w:r>
    </w:p>
    <w:p w14:paraId="431A4A5A" w14:textId="77777777" w:rsidR="00E65594" w:rsidRPr="00853CD5" w:rsidRDefault="00E65594" w:rsidP="003647B7">
      <w:pPr>
        <w:pStyle w:val="Bibliography"/>
        <w:ind w:left="567" w:hanging="567"/>
        <w:rPr>
          <w:rFonts w:ascii="Times New Roman" w:hAnsi="Times New Roman" w:cs="Times New Roman"/>
          <w:sz w:val="24"/>
          <w:szCs w:val="24"/>
        </w:rPr>
      </w:pPr>
      <w:proofErr w:type="spellStart"/>
      <w:r w:rsidRPr="00853CD5">
        <w:rPr>
          <w:rFonts w:ascii="Times New Roman" w:hAnsi="Times New Roman" w:cs="Times New Roman"/>
          <w:sz w:val="24"/>
          <w:szCs w:val="24"/>
        </w:rPr>
        <w:t>Kangarli</w:t>
      </w:r>
      <w:proofErr w:type="spellEnd"/>
      <w:r w:rsidRPr="00853CD5">
        <w:rPr>
          <w:rFonts w:ascii="Times New Roman" w:hAnsi="Times New Roman" w:cs="Times New Roman"/>
          <w:sz w:val="24"/>
          <w:szCs w:val="24"/>
        </w:rPr>
        <w:t xml:space="preserve">, T.N., </w:t>
      </w:r>
      <w:proofErr w:type="spellStart"/>
      <w:r w:rsidRPr="00853CD5">
        <w:rPr>
          <w:rFonts w:ascii="Times New Roman" w:hAnsi="Times New Roman" w:cs="Times New Roman"/>
          <w:sz w:val="24"/>
          <w:szCs w:val="24"/>
        </w:rPr>
        <w:t>Kadirov</w:t>
      </w:r>
      <w:proofErr w:type="spellEnd"/>
      <w:r w:rsidRPr="00853CD5">
        <w:rPr>
          <w:rFonts w:ascii="Times New Roman" w:hAnsi="Times New Roman" w:cs="Times New Roman"/>
          <w:sz w:val="24"/>
          <w:szCs w:val="24"/>
        </w:rPr>
        <w:t xml:space="preserve">, F.A., </w:t>
      </w:r>
      <w:proofErr w:type="spellStart"/>
      <w:r w:rsidRPr="00853CD5">
        <w:rPr>
          <w:rFonts w:ascii="Times New Roman" w:hAnsi="Times New Roman" w:cs="Times New Roman"/>
          <w:sz w:val="24"/>
          <w:szCs w:val="24"/>
        </w:rPr>
        <w:t>Etirmishli</w:t>
      </w:r>
      <w:proofErr w:type="spellEnd"/>
      <w:r w:rsidRPr="00853CD5">
        <w:rPr>
          <w:rFonts w:ascii="Times New Roman" w:hAnsi="Times New Roman" w:cs="Times New Roman"/>
          <w:sz w:val="24"/>
          <w:szCs w:val="24"/>
        </w:rPr>
        <w:t xml:space="preserve">, G.D., </w:t>
      </w:r>
      <w:proofErr w:type="spellStart"/>
      <w:r w:rsidRPr="00853CD5">
        <w:rPr>
          <w:rFonts w:ascii="Times New Roman" w:hAnsi="Times New Roman" w:cs="Times New Roman"/>
          <w:sz w:val="24"/>
          <w:szCs w:val="24"/>
        </w:rPr>
        <w:t>Aliev</w:t>
      </w:r>
      <w:proofErr w:type="spellEnd"/>
      <w:r w:rsidRPr="00853CD5">
        <w:rPr>
          <w:rFonts w:ascii="Times New Roman" w:hAnsi="Times New Roman" w:cs="Times New Roman"/>
          <w:sz w:val="24"/>
          <w:szCs w:val="24"/>
        </w:rPr>
        <w:t xml:space="preserve">, F.A., Kazimova, S.E., </w:t>
      </w:r>
      <w:proofErr w:type="spellStart"/>
      <w:r w:rsidRPr="00853CD5">
        <w:rPr>
          <w:rFonts w:ascii="Times New Roman" w:hAnsi="Times New Roman" w:cs="Times New Roman"/>
          <w:sz w:val="24"/>
          <w:szCs w:val="24"/>
        </w:rPr>
        <w:t>Aliev</w:t>
      </w:r>
      <w:proofErr w:type="spellEnd"/>
      <w:r w:rsidRPr="00853CD5">
        <w:rPr>
          <w:rFonts w:ascii="Times New Roman" w:hAnsi="Times New Roman" w:cs="Times New Roman"/>
          <w:sz w:val="24"/>
          <w:szCs w:val="24"/>
        </w:rPr>
        <w:t xml:space="preserve">, A.M., Safarov, R.T., </w:t>
      </w:r>
      <w:proofErr w:type="spellStart"/>
      <w:r w:rsidRPr="00853CD5">
        <w:rPr>
          <w:rFonts w:ascii="Times New Roman" w:hAnsi="Times New Roman" w:cs="Times New Roman"/>
          <w:sz w:val="24"/>
          <w:szCs w:val="24"/>
        </w:rPr>
        <w:t>Vakhabov</w:t>
      </w:r>
      <w:proofErr w:type="spellEnd"/>
      <w:r w:rsidRPr="00853CD5">
        <w:rPr>
          <w:rFonts w:ascii="Times New Roman" w:hAnsi="Times New Roman" w:cs="Times New Roman"/>
          <w:sz w:val="24"/>
          <w:szCs w:val="24"/>
        </w:rPr>
        <w:t xml:space="preserve">, U.G., 2018. Geodynamics, active </w:t>
      </w:r>
      <w:proofErr w:type="gramStart"/>
      <w:r w:rsidRPr="00853CD5">
        <w:rPr>
          <w:rFonts w:ascii="Times New Roman" w:hAnsi="Times New Roman" w:cs="Times New Roman"/>
          <w:sz w:val="24"/>
          <w:szCs w:val="24"/>
        </w:rPr>
        <w:t>faults</w:t>
      </w:r>
      <w:proofErr w:type="gramEnd"/>
      <w:r w:rsidRPr="00853CD5">
        <w:rPr>
          <w:rFonts w:ascii="Times New Roman" w:hAnsi="Times New Roman" w:cs="Times New Roman"/>
          <w:sz w:val="24"/>
          <w:szCs w:val="24"/>
        </w:rPr>
        <w:t xml:space="preserve"> and earthquake source mechanisms in the zone of </w:t>
      </w:r>
      <w:proofErr w:type="spellStart"/>
      <w:r w:rsidRPr="00853CD5">
        <w:rPr>
          <w:rFonts w:ascii="Times New Roman" w:hAnsi="Times New Roman" w:cs="Times New Roman"/>
          <w:sz w:val="24"/>
          <w:szCs w:val="24"/>
        </w:rPr>
        <w:t>pseudosubduction</w:t>
      </w:r>
      <w:proofErr w:type="spellEnd"/>
      <w:r w:rsidRPr="00853CD5">
        <w:rPr>
          <w:rFonts w:ascii="Times New Roman" w:hAnsi="Times New Roman" w:cs="Times New Roman"/>
          <w:sz w:val="24"/>
          <w:szCs w:val="24"/>
        </w:rPr>
        <w:t xml:space="preserve"> interaction of continental microplates in the South and North Caucasus (southern slope of the Greater Caucasus, Azerbaijan). </w:t>
      </w:r>
      <w:proofErr w:type="spellStart"/>
      <w:r w:rsidRPr="00853CD5">
        <w:rPr>
          <w:rFonts w:ascii="Times New Roman" w:hAnsi="Times New Roman" w:cs="Times New Roman"/>
          <w:sz w:val="24"/>
          <w:szCs w:val="24"/>
        </w:rPr>
        <w:t>Geodyn</w:t>
      </w:r>
      <w:proofErr w:type="spellEnd"/>
      <w:r w:rsidRPr="00853CD5">
        <w:rPr>
          <w:rFonts w:ascii="Times New Roman" w:hAnsi="Times New Roman" w:cs="Times New Roman"/>
          <w:sz w:val="24"/>
          <w:szCs w:val="24"/>
        </w:rPr>
        <w:t xml:space="preserve">. </w:t>
      </w:r>
      <w:proofErr w:type="spellStart"/>
      <w:r w:rsidRPr="00853CD5">
        <w:rPr>
          <w:rFonts w:ascii="Times New Roman" w:hAnsi="Times New Roman" w:cs="Times New Roman"/>
          <w:sz w:val="24"/>
          <w:szCs w:val="24"/>
        </w:rPr>
        <w:t>Tectonophys</w:t>
      </w:r>
      <w:proofErr w:type="spellEnd"/>
      <w:r w:rsidRPr="00853CD5">
        <w:rPr>
          <w:rFonts w:ascii="Times New Roman" w:hAnsi="Times New Roman" w:cs="Times New Roman"/>
          <w:sz w:val="24"/>
          <w:szCs w:val="24"/>
        </w:rPr>
        <w:t>. 9, 1099–1126. https://doi.org/10.5800/GT-2018-9-4-0385</w:t>
      </w:r>
    </w:p>
    <w:p w14:paraId="62A33250" w14:textId="77777777" w:rsidR="00E65594" w:rsidRPr="00853CD5" w:rsidRDefault="00E65594" w:rsidP="003647B7">
      <w:pPr>
        <w:pStyle w:val="Bibliography"/>
        <w:ind w:left="567" w:hanging="567"/>
        <w:rPr>
          <w:rFonts w:ascii="Times New Roman" w:hAnsi="Times New Roman" w:cs="Times New Roman"/>
          <w:sz w:val="24"/>
          <w:szCs w:val="24"/>
        </w:rPr>
      </w:pPr>
      <w:r w:rsidRPr="00853CD5">
        <w:rPr>
          <w:rFonts w:ascii="Times New Roman" w:hAnsi="Times New Roman" w:cs="Times New Roman"/>
          <w:sz w:val="24"/>
          <w:szCs w:val="24"/>
        </w:rPr>
        <w:t xml:space="preserve">Le Brun, C., 1759. A New and More Correct Translation than Has Hitherto Appeared in Public of Mr. Cornelius Le Brun’s Travels into </w:t>
      </w:r>
      <w:proofErr w:type="spellStart"/>
      <w:r w:rsidRPr="00853CD5">
        <w:rPr>
          <w:rFonts w:ascii="Times New Roman" w:hAnsi="Times New Roman" w:cs="Times New Roman"/>
          <w:sz w:val="24"/>
          <w:szCs w:val="24"/>
        </w:rPr>
        <w:t>Moscovy</w:t>
      </w:r>
      <w:proofErr w:type="spellEnd"/>
      <w:r w:rsidRPr="00853CD5">
        <w:rPr>
          <w:rFonts w:ascii="Times New Roman" w:hAnsi="Times New Roman" w:cs="Times New Roman"/>
          <w:sz w:val="24"/>
          <w:szCs w:val="24"/>
        </w:rPr>
        <w:t xml:space="preserve">, Persia, and Divers Parts of the East-Indies; Containing </w:t>
      </w:r>
      <w:proofErr w:type="gramStart"/>
      <w:r w:rsidRPr="00853CD5">
        <w:rPr>
          <w:rFonts w:ascii="Times New Roman" w:hAnsi="Times New Roman" w:cs="Times New Roman"/>
          <w:sz w:val="24"/>
          <w:szCs w:val="24"/>
        </w:rPr>
        <w:t>An</w:t>
      </w:r>
      <w:proofErr w:type="gramEnd"/>
      <w:r w:rsidRPr="00853CD5">
        <w:rPr>
          <w:rFonts w:ascii="Times New Roman" w:hAnsi="Times New Roman" w:cs="Times New Roman"/>
          <w:sz w:val="24"/>
          <w:szCs w:val="24"/>
        </w:rPr>
        <w:t xml:space="preserve"> Accurate Description of All Such Articles as Are Most Remarkable in Each of Those Different Countries, and Most Worthy the Attention of the Curious Reader. As Also </w:t>
      </w:r>
      <w:proofErr w:type="gramStart"/>
      <w:r w:rsidRPr="00853CD5">
        <w:rPr>
          <w:rFonts w:ascii="Times New Roman" w:hAnsi="Times New Roman" w:cs="Times New Roman"/>
          <w:sz w:val="24"/>
          <w:szCs w:val="24"/>
        </w:rPr>
        <w:t>Of</w:t>
      </w:r>
      <w:proofErr w:type="gramEnd"/>
      <w:r w:rsidRPr="00853CD5">
        <w:rPr>
          <w:rFonts w:ascii="Times New Roman" w:hAnsi="Times New Roman" w:cs="Times New Roman"/>
          <w:sz w:val="24"/>
          <w:szCs w:val="24"/>
        </w:rPr>
        <w:t xml:space="preserve"> Their Antiquities; but More Particularly Those Relating to the Famous Palace of Persepolis, Commonly Called </w:t>
      </w:r>
      <w:proofErr w:type="spellStart"/>
      <w:r w:rsidRPr="00853CD5">
        <w:rPr>
          <w:rFonts w:ascii="Times New Roman" w:hAnsi="Times New Roman" w:cs="Times New Roman"/>
          <w:sz w:val="24"/>
          <w:szCs w:val="24"/>
        </w:rPr>
        <w:t>Chelminar</w:t>
      </w:r>
      <w:proofErr w:type="spellEnd"/>
      <w:r w:rsidRPr="00853CD5">
        <w:rPr>
          <w:rFonts w:ascii="Times New Roman" w:hAnsi="Times New Roman" w:cs="Times New Roman"/>
          <w:sz w:val="24"/>
          <w:szCs w:val="24"/>
        </w:rPr>
        <w:t xml:space="preserve"> by the Persians: By a Gentleman of Oxford. J. </w:t>
      </w:r>
      <w:proofErr w:type="spellStart"/>
      <w:r w:rsidRPr="00853CD5">
        <w:rPr>
          <w:rFonts w:ascii="Times New Roman" w:hAnsi="Times New Roman" w:cs="Times New Roman"/>
          <w:sz w:val="24"/>
          <w:szCs w:val="24"/>
        </w:rPr>
        <w:t>Warcus</w:t>
      </w:r>
      <w:proofErr w:type="spellEnd"/>
      <w:r w:rsidRPr="00853CD5">
        <w:rPr>
          <w:rFonts w:ascii="Times New Roman" w:hAnsi="Times New Roman" w:cs="Times New Roman"/>
          <w:sz w:val="24"/>
          <w:szCs w:val="24"/>
        </w:rPr>
        <w:t>, London.</w:t>
      </w:r>
    </w:p>
    <w:p w14:paraId="29CE1C2D" w14:textId="77777777" w:rsidR="00E65594" w:rsidRPr="00853CD5" w:rsidRDefault="00E65594" w:rsidP="003647B7">
      <w:pPr>
        <w:pStyle w:val="Bibliography"/>
        <w:ind w:left="567" w:hanging="567"/>
        <w:rPr>
          <w:rFonts w:ascii="Times New Roman" w:hAnsi="Times New Roman" w:cs="Times New Roman"/>
          <w:sz w:val="24"/>
          <w:szCs w:val="24"/>
        </w:rPr>
      </w:pPr>
      <w:r w:rsidRPr="00853CD5">
        <w:rPr>
          <w:rFonts w:ascii="Times New Roman" w:hAnsi="Times New Roman" w:cs="Times New Roman"/>
          <w:sz w:val="24"/>
          <w:szCs w:val="24"/>
        </w:rPr>
        <w:t xml:space="preserve">McCalpin, J. (Ed.), 2009. Paleoseismology, 2nd ed. ed, </w:t>
      </w:r>
      <w:proofErr w:type="gramStart"/>
      <w:r w:rsidRPr="00853CD5">
        <w:rPr>
          <w:rFonts w:ascii="Times New Roman" w:hAnsi="Times New Roman" w:cs="Times New Roman"/>
          <w:sz w:val="24"/>
          <w:szCs w:val="24"/>
        </w:rPr>
        <w:t>International</w:t>
      </w:r>
      <w:proofErr w:type="gramEnd"/>
      <w:r w:rsidRPr="00853CD5">
        <w:rPr>
          <w:rFonts w:ascii="Times New Roman" w:hAnsi="Times New Roman" w:cs="Times New Roman"/>
          <w:sz w:val="24"/>
          <w:szCs w:val="24"/>
        </w:rPr>
        <w:t xml:space="preserve"> geophysics series. Academic Press, Burlington, MA.</w:t>
      </w:r>
    </w:p>
    <w:p w14:paraId="631BC083" w14:textId="77777777" w:rsidR="00E65594" w:rsidRPr="00853CD5" w:rsidRDefault="00E65594" w:rsidP="003647B7">
      <w:pPr>
        <w:pStyle w:val="Bibliography"/>
        <w:ind w:left="567" w:hanging="567"/>
        <w:rPr>
          <w:rFonts w:ascii="Times New Roman" w:hAnsi="Times New Roman" w:cs="Times New Roman"/>
          <w:sz w:val="24"/>
          <w:szCs w:val="24"/>
        </w:rPr>
      </w:pPr>
      <w:r w:rsidRPr="00853CD5">
        <w:rPr>
          <w:rFonts w:ascii="Times New Roman" w:hAnsi="Times New Roman" w:cs="Times New Roman"/>
          <w:sz w:val="24"/>
          <w:szCs w:val="24"/>
        </w:rPr>
        <w:t xml:space="preserve">McKenzie, D., 1972. Active Tectonics of the Mediterranean Region. </w:t>
      </w:r>
      <w:proofErr w:type="spellStart"/>
      <w:r w:rsidRPr="00853CD5">
        <w:rPr>
          <w:rFonts w:ascii="Times New Roman" w:hAnsi="Times New Roman" w:cs="Times New Roman"/>
          <w:sz w:val="24"/>
          <w:szCs w:val="24"/>
        </w:rPr>
        <w:t>Geophys</w:t>
      </w:r>
      <w:proofErr w:type="spellEnd"/>
      <w:r w:rsidRPr="00853CD5">
        <w:rPr>
          <w:rFonts w:ascii="Times New Roman" w:hAnsi="Times New Roman" w:cs="Times New Roman"/>
          <w:sz w:val="24"/>
          <w:szCs w:val="24"/>
        </w:rPr>
        <w:t>. J. Int. 30, 109–185. https://doi.org/10.1111/j.1365-246X.1972.tb02351.x</w:t>
      </w:r>
    </w:p>
    <w:p w14:paraId="3AB55D72" w14:textId="77777777" w:rsidR="00E65594" w:rsidRPr="00853CD5" w:rsidRDefault="00E65594" w:rsidP="003647B7">
      <w:pPr>
        <w:pStyle w:val="Bibliography"/>
        <w:ind w:left="567" w:hanging="567"/>
        <w:rPr>
          <w:rFonts w:ascii="Times New Roman" w:hAnsi="Times New Roman" w:cs="Times New Roman"/>
          <w:sz w:val="24"/>
          <w:szCs w:val="24"/>
        </w:rPr>
      </w:pPr>
      <w:proofErr w:type="spellStart"/>
      <w:r w:rsidRPr="00853CD5">
        <w:rPr>
          <w:rFonts w:ascii="Times New Roman" w:hAnsi="Times New Roman" w:cs="Times New Roman"/>
          <w:sz w:val="24"/>
          <w:szCs w:val="24"/>
        </w:rPr>
        <w:t>Mosar</w:t>
      </w:r>
      <w:proofErr w:type="spellEnd"/>
      <w:r w:rsidRPr="00853CD5">
        <w:rPr>
          <w:rFonts w:ascii="Times New Roman" w:hAnsi="Times New Roman" w:cs="Times New Roman"/>
          <w:sz w:val="24"/>
          <w:szCs w:val="24"/>
        </w:rPr>
        <w:t xml:space="preserve">, J., </w:t>
      </w:r>
      <w:proofErr w:type="spellStart"/>
      <w:r w:rsidRPr="00853CD5">
        <w:rPr>
          <w:rFonts w:ascii="Times New Roman" w:hAnsi="Times New Roman" w:cs="Times New Roman"/>
          <w:sz w:val="24"/>
          <w:szCs w:val="24"/>
        </w:rPr>
        <w:t>Kangarli</w:t>
      </w:r>
      <w:proofErr w:type="spellEnd"/>
      <w:r w:rsidRPr="00853CD5">
        <w:rPr>
          <w:rFonts w:ascii="Times New Roman" w:hAnsi="Times New Roman" w:cs="Times New Roman"/>
          <w:sz w:val="24"/>
          <w:szCs w:val="24"/>
        </w:rPr>
        <w:t xml:space="preserve">, T., </w:t>
      </w:r>
      <w:proofErr w:type="spellStart"/>
      <w:r w:rsidRPr="00853CD5">
        <w:rPr>
          <w:rFonts w:ascii="Times New Roman" w:hAnsi="Times New Roman" w:cs="Times New Roman"/>
          <w:sz w:val="24"/>
          <w:szCs w:val="24"/>
        </w:rPr>
        <w:t>Bochud</w:t>
      </w:r>
      <w:proofErr w:type="spellEnd"/>
      <w:r w:rsidRPr="00853CD5">
        <w:rPr>
          <w:rFonts w:ascii="Times New Roman" w:hAnsi="Times New Roman" w:cs="Times New Roman"/>
          <w:sz w:val="24"/>
          <w:szCs w:val="24"/>
        </w:rPr>
        <w:t xml:space="preserve">, M., </w:t>
      </w:r>
      <w:proofErr w:type="spellStart"/>
      <w:r w:rsidRPr="00853CD5">
        <w:rPr>
          <w:rFonts w:ascii="Times New Roman" w:hAnsi="Times New Roman" w:cs="Times New Roman"/>
          <w:sz w:val="24"/>
          <w:szCs w:val="24"/>
        </w:rPr>
        <w:t>Glasmacher</w:t>
      </w:r>
      <w:proofErr w:type="spellEnd"/>
      <w:r w:rsidRPr="00853CD5">
        <w:rPr>
          <w:rFonts w:ascii="Times New Roman" w:hAnsi="Times New Roman" w:cs="Times New Roman"/>
          <w:sz w:val="24"/>
          <w:szCs w:val="24"/>
        </w:rPr>
        <w:t xml:space="preserve">, U.A., </w:t>
      </w:r>
      <w:proofErr w:type="spellStart"/>
      <w:r w:rsidRPr="00853CD5">
        <w:rPr>
          <w:rFonts w:ascii="Times New Roman" w:hAnsi="Times New Roman" w:cs="Times New Roman"/>
          <w:sz w:val="24"/>
          <w:szCs w:val="24"/>
        </w:rPr>
        <w:t>Rast</w:t>
      </w:r>
      <w:proofErr w:type="spellEnd"/>
      <w:r w:rsidRPr="00853CD5">
        <w:rPr>
          <w:rFonts w:ascii="Times New Roman" w:hAnsi="Times New Roman" w:cs="Times New Roman"/>
          <w:sz w:val="24"/>
          <w:szCs w:val="24"/>
        </w:rPr>
        <w:t xml:space="preserve">, A., Brunet, M.-F., </w:t>
      </w:r>
      <w:proofErr w:type="spellStart"/>
      <w:r w:rsidRPr="00853CD5">
        <w:rPr>
          <w:rFonts w:ascii="Times New Roman" w:hAnsi="Times New Roman" w:cs="Times New Roman"/>
          <w:sz w:val="24"/>
          <w:szCs w:val="24"/>
        </w:rPr>
        <w:t>Sosson</w:t>
      </w:r>
      <w:proofErr w:type="spellEnd"/>
      <w:r w:rsidRPr="00853CD5">
        <w:rPr>
          <w:rFonts w:ascii="Times New Roman" w:hAnsi="Times New Roman" w:cs="Times New Roman"/>
          <w:sz w:val="24"/>
          <w:szCs w:val="24"/>
        </w:rPr>
        <w:t xml:space="preserve">, M., 2010. Cenozoic-Recent tectonics and uplift in the Greater Caucasus: a perspective from Azerbaijan. Geol. Soc. </w:t>
      </w:r>
      <w:proofErr w:type="spellStart"/>
      <w:r w:rsidRPr="00853CD5">
        <w:rPr>
          <w:rFonts w:ascii="Times New Roman" w:hAnsi="Times New Roman" w:cs="Times New Roman"/>
          <w:sz w:val="24"/>
          <w:szCs w:val="24"/>
        </w:rPr>
        <w:t>Lond</w:t>
      </w:r>
      <w:proofErr w:type="spellEnd"/>
      <w:r w:rsidRPr="00853CD5">
        <w:rPr>
          <w:rFonts w:ascii="Times New Roman" w:hAnsi="Times New Roman" w:cs="Times New Roman"/>
          <w:sz w:val="24"/>
          <w:szCs w:val="24"/>
        </w:rPr>
        <w:t>. Spec. Publ. 340, 261–280. https://doi.org/10.1144/SP340.12</w:t>
      </w:r>
    </w:p>
    <w:p w14:paraId="5ACEC1EB" w14:textId="77777777" w:rsidR="00E65594" w:rsidRPr="00853CD5" w:rsidRDefault="00E65594" w:rsidP="003647B7">
      <w:pPr>
        <w:pStyle w:val="Bibliography"/>
        <w:ind w:left="567" w:hanging="567"/>
        <w:rPr>
          <w:rFonts w:ascii="Times New Roman" w:hAnsi="Times New Roman" w:cs="Times New Roman"/>
          <w:sz w:val="24"/>
          <w:szCs w:val="24"/>
        </w:rPr>
      </w:pPr>
      <w:proofErr w:type="spellStart"/>
      <w:r w:rsidRPr="00853CD5">
        <w:rPr>
          <w:rFonts w:ascii="Times New Roman" w:hAnsi="Times New Roman" w:cs="Times New Roman"/>
          <w:sz w:val="24"/>
          <w:szCs w:val="24"/>
        </w:rPr>
        <w:t>Mumladze</w:t>
      </w:r>
      <w:proofErr w:type="spellEnd"/>
      <w:r w:rsidRPr="00853CD5">
        <w:rPr>
          <w:rFonts w:ascii="Times New Roman" w:hAnsi="Times New Roman" w:cs="Times New Roman"/>
          <w:sz w:val="24"/>
          <w:szCs w:val="24"/>
        </w:rPr>
        <w:t xml:space="preserve">, T., Forte, A.M., Cowgill, E.S., Trexler, C.C., Niemi, N.A., </w:t>
      </w:r>
      <w:proofErr w:type="spellStart"/>
      <w:r w:rsidRPr="00853CD5">
        <w:rPr>
          <w:rFonts w:ascii="Times New Roman" w:hAnsi="Times New Roman" w:cs="Times New Roman"/>
          <w:sz w:val="24"/>
          <w:szCs w:val="24"/>
        </w:rPr>
        <w:t>Burak</w:t>
      </w:r>
      <w:proofErr w:type="spellEnd"/>
      <w:r w:rsidRPr="00853CD5">
        <w:rPr>
          <w:rFonts w:ascii="Times New Roman" w:hAnsi="Times New Roman" w:cs="Times New Roman"/>
          <w:sz w:val="24"/>
          <w:szCs w:val="24"/>
        </w:rPr>
        <w:t xml:space="preserve"> </w:t>
      </w:r>
      <w:proofErr w:type="spellStart"/>
      <w:r w:rsidRPr="00853CD5">
        <w:rPr>
          <w:rFonts w:ascii="Times New Roman" w:hAnsi="Times New Roman" w:cs="Times New Roman"/>
          <w:sz w:val="24"/>
          <w:szCs w:val="24"/>
        </w:rPr>
        <w:t>Yıkılmaz</w:t>
      </w:r>
      <w:proofErr w:type="spellEnd"/>
      <w:r w:rsidRPr="00853CD5">
        <w:rPr>
          <w:rFonts w:ascii="Times New Roman" w:hAnsi="Times New Roman" w:cs="Times New Roman"/>
          <w:sz w:val="24"/>
          <w:szCs w:val="24"/>
        </w:rPr>
        <w:t xml:space="preserve">, M., Kellogg, L.H., 2015. Subducted, detached, and torn slabs beneath the Greater Caucasus. </w:t>
      </w:r>
      <w:proofErr w:type="spellStart"/>
      <w:r w:rsidRPr="00853CD5">
        <w:rPr>
          <w:rFonts w:ascii="Times New Roman" w:hAnsi="Times New Roman" w:cs="Times New Roman"/>
          <w:sz w:val="24"/>
          <w:szCs w:val="24"/>
        </w:rPr>
        <w:t>GeoResJ</w:t>
      </w:r>
      <w:proofErr w:type="spellEnd"/>
      <w:r w:rsidRPr="00853CD5">
        <w:rPr>
          <w:rFonts w:ascii="Times New Roman" w:hAnsi="Times New Roman" w:cs="Times New Roman"/>
          <w:sz w:val="24"/>
          <w:szCs w:val="24"/>
        </w:rPr>
        <w:t xml:space="preserve"> 5, 36–46. https://doi.org/10.1016/j.grj.2014.09.004</w:t>
      </w:r>
    </w:p>
    <w:p w14:paraId="48F2369A" w14:textId="77777777" w:rsidR="00E65594" w:rsidRPr="00853CD5" w:rsidRDefault="00E65594" w:rsidP="003647B7">
      <w:pPr>
        <w:pStyle w:val="Bibliography"/>
        <w:ind w:left="567" w:hanging="567"/>
        <w:rPr>
          <w:rFonts w:ascii="Times New Roman" w:hAnsi="Times New Roman" w:cs="Times New Roman"/>
          <w:sz w:val="24"/>
          <w:szCs w:val="24"/>
        </w:rPr>
      </w:pPr>
      <w:r w:rsidRPr="00853CD5">
        <w:rPr>
          <w:rFonts w:ascii="Times New Roman" w:hAnsi="Times New Roman" w:cs="Times New Roman"/>
          <w:sz w:val="24"/>
          <w:szCs w:val="24"/>
        </w:rPr>
        <w:t>New York Times, T., 1902. 2,000 DEAD AT SHEMAKHA. N. Y. Times 1.</w:t>
      </w:r>
    </w:p>
    <w:p w14:paraId="0F2590CF" w14:textId="77777777" w:rsidR="00E65594" w:rsidRPr="00853CD5" w:rsidRDefault="00E65594" w:rsidP="003647B7">
      <w:pPr>
        <w:pStyle w:val="Bibliography"/>
        <w:ind w:left="567" w:hanging="567"/>
        <w:rPr>
          <w:rFonts w:ascii="Times New Roman" w:hAnsi="Times New Roman" w:cs="Times New Roman"/>
          <w:sz w:val="24"/>
          <w:szCs w:val="24"/>
        </w:rPr>
      </w:pPr>
      <w:r w:rsidRPr="00853CD5">
        <w:rPr>
          <w:rFonts w:ascii="Times New Roman" w:hAnsi="Times New Roman" w:cs="Times New Roman"/>
          <w:sz w:val="24"/>
          <w:szCs w:val="24"/>
        </w:rPr>
        <w:t xml:space="preserve">Nikonov, A.A., 1982. </w:t>
      </w:r>
      <w:proofErr w:type="spellStart"/>
      <w:r w:rsidRPr="00853CD5">
        <w:rPr>
          <w:rFonts w:ascii="Times New Roman" w:hAnsi="Times New Roman" w:cs="Times New Roman"/>
          <w:sz w:val="24"/>
          <w:szCs w:val="24"/>
        </w:rPr>
        <w:t>Sil’neǐshee</w:t>
      </w:r>
      <w:proofErr w:type="spellEnd"/>
      <w:r w:rsidRPr="00853CD5">
        <w:rPr>
          <w:rFonts w:ascii="Times New Roman" w:hAnsi="Times New Roman" w:cs="Times New Roman"/>
          <w:sz w:val="24"/>
          <w:szCs w:val="24"/>
        </w:rPr>
        <w:t xml:space="preserve"> </w:t>
      </w:r>
      <w:proofErr w:type="spellStart"/>
      <w:r w:rsidRPr="00853CD5">
        <w:rPr>
          <w:rFonts w:ascii="Times New Roman" w:hAnsi="Times New Roman" w:cs="Times New Roman"/>
          <w:sz w:val="24"/>
          <w:szCs w:val="24"/>
        </w:rPr>
        <w:t>Zemletriasenie</w:t>
      </w:r>
      <w:proofErr w:type="spellEnd"/>
      <w:r w:rsidRPr="00853CD5">
        <w:rPr>
          <w:rFonts w:ascii="Times New Roman" w:hAnsi="Times New Roman" w:cs="Times New Roman"/>
          <w:sz w:val="24"/>
          <w:szCs w:val="24"/>
        </w:rPr>
        <w:t xml:space="preserve"> </w:t>
      </w:r>
      <w:proofErr w:type="spellStart"/>
      <w:r w:rsidRPr="00853CD5">
        <w:rPr>
          <w:rFonts w:ascii="Times New Roman" w:hAnsi="Times New Roman" w:cs="Times New Roman"/>
          <w:sz w:val="24"/>
          <w:szCs w:val="24"/>
        </w:rPr>
        <w:t>Bol’shogo</w:t>
      </w:r>
      <w:proofErr w:type="spellEnd"/>
      <w:r w:rsidRPr="00853CD5">
        <w:rPr>
          <w:rFonts w:ascii="Times New Roman" w:hAnsi="Times New Roman" w:cs="Times New Roman"/>
          <w:sz w:val="24"/>
          <w:szCs w:val="24"/>
        </w:rPr>
        <w:t xml:space="preserve"> </w:t>
      </w:r>
      <w:proofErr w:type="spellStart"/>
      <w:r w:rsidRPr="00853CD5">
        <w:rPr>
          <w:rFonts w:ascii="Times New Roman" w:hAnsi="Times New Roman" w:cs="Times New Roman"/>
          <w:sz w:val="24"/>
          <w:szCs w:val="24"/>
        </w:rPr>
        <w:t>Kavkaza</w:t>
      </w:r>
      <w:proofErr w:type="spellEnd"/>
      <w:r w:rsidRPr="00853CD5">
        <w:rPr>
          <w:rFonts w:ascii="Times New Roman" w:hAnsi="Times New Roman" w:cs="Times New Roman"/>
          <w:sz w:val="24"/>
          <w:szCs w:val="24"/>
        </w:rPr>
        <w:t xml:space="preserve"> 14 </w:t>
      </w:r>
      <w:proofErr w:type="spellStart"/>
      <w:r w:rsidRPr="00853CD5">
        <w:rPr>
          <w:rFonts w:ascii="Times New Roman" w:hAnsi="Times New Roman" w:cs="Times New Roman"/>
          <w:sz w:val="24"/>
          <w:szCs w:val="24"/>
        </w:rPr>
        <w:t>Ianvaria</w:t>
      </w:r>
      <w:proofErr w:type="spellEnd"/>
      <w:r w:rsidRPr="00853CD5">
        <w:rPr>
          <w:rFonts w:ascii="Times New Roman" w:hAnsi="Times New Roman" w:cs="Times New Roman"/>
          <w:sz w:val="24"/>
          <w:szCs w:val="24"/>
        </w:rPr>
        <w:t xml:space="preserve"> 1668 g. </w:t>
      </w:r>
      <w:proofErr w:type="spellStart"/>
      <w:r w:rsidRPr="00853CD5">
        <w:rPr>
          <w:rFonts w:ascii="Times New Roman" w:hAnsi="Times New Roman" w:cs="Times New Roman"/>
          <w:sz w:val="24"/>
          <w:szCs w:val="24"/>
        </w:rPr>
        <w:t>Fis</w:t>
      </w:r>
      <w:proofErr w:type="spellEnd"/>
      <w:r w:rsidRPr="00853CD5">
        <w:rPr>
          <w:rFonts w:ascii="Times New Roman" w:hAnsi="Times New Roman" w:cs="Times New Roman"/>
          <w:sz w:val="24"/>
          <w:szCs w:val="24"/>
        </w:rPr>
        <w:t xml:space="preserve">. </w:t>
      </w:r>
      <w:proofErr w:type="spellStart"/>
      <w:r w:rsidRPr="00853CD5">
        <w:rPr>
          <w:rFonts w:ascii="Times New Roman" w:hAnsi="Times New Roman" w:cs="Times New Roman"/>
          <w:sz w:val="24"/>
          <w:szCs w:val="24"/>
        </w:rPr>
        <w:t>Zemli</w:t>
      </w:r>
      <w:proofErr w:type="spellEnd"/>
      <w:r w:rsidRPr="00853CD5">
        <w:rPr>
          <w:rFonts w:ascii="Times New Roman" w:hAnsi="Times New Roman" w:cs="Times New Roman"/>
          <w:sz w:val="24"/>
          <w:szCs w:val="24"/>
        </w:rPr>
        <w:t xml:space="preserve"> 9, 90–106.</w:t>
      </w:r>
    </w:p>
    <w:p w14:paraId="2F310707" w14:textId="77777777" w:rsidR="00E65594" w:rsidRPr="00853CD5" w:rsidRDefault="00E65594" w:rsidP="003647B7">
      <w:pPr>
        <w:pStyle w:val="Bibliography"/>
        <w:ind w:left="567" w:hanging="567"/>
        <w:rPr>
          <w:rFonts w:ascii="Times New Roman" w:hAnsi="Times New Roman" w:cs="Times New Roman"/>
          <w:sz w:val="24"/>
          <w:szCs w:val="24"/>
        </w:rPr>
      </w:pPr>
      <w:r w:rsidRPr="00853CD5">
        <w:rPr>
          <w:rFonts w:ascii="Times New Roman" w:hAnsi="Times New Roman" w:cs="Times New Roman"/>
          <w:sz w:val="24"/>
          <w:szCs w:val="24"/>
        </w:rPr>
        <w:t xml:space="preserve">Philip, H., </w:t>
      </w:r>
      <w:proofErr w:type="spellStart"/>
      <w:r w:rsidRPr="00853CD5">
        <w:rPr>
          <w:rFonts w:ascii="Times New Roman" w:hAnsi="Times New Roman" w:cs="Times New Roman"/>
          <w:sz w:val="24"/>
          <w:szCs w:val="24"/>
        </w:rPr>
        <w:t>Cisternas</w:t>
      </w:r>
      <w:proofErr w:type="spellEnd"/>
      <w:r w:rsidRPr="00853CD5">
        <w:rPr>
          <w:rFonts w:ascii="Times New Roman" w:hAnsi="Times New Roman" w:cs="Times New Roman"/>
          <w:sz w:val="24"/>
          <w:szCs w:val="24"/>
        </w:rPr>
        <w:t xml:space="preserve">, A., </w:t>
      </w:r>
      <w:proofErr w:type="spellStart"/>
      <w:r w:rsidRPr="00853CD5">
        <w:rPr>
          <w:rFonts w:ascii="Times New Roman" w:hAnsi="Times New Roman" w:cs="Times New Roman"/>
          <w:sz w:val="24"/>
          <w:szCs w:val="24"/>
        </w:rPr>
        <w:t>Gvishiani</w:t>
      </w:r>
      <w:proofErr w:type="spellEnd"/>
      <w:r w:rsidRPr="00853CD5">
        <w:rPr>
          <w:rFonts w:ascii="Times New Roman" w:hAnsi="Times New Roman" w:cs="Times New Roman"/>
          <w:sz w:val="24"/>
          <w:szCs w:val="24"/>
        </w:rPr>
        <w:t>, A., Gorshkov, A., 1989. The Caucasus: an actual example of the initial stages of continental collision. Tectonophysics 161, 1–21. https://doi.org/10.1016/0040-1951(89)90297-7</w:t>
      </w:r>
    </w:p>
    <w:p w14:paraId="06E7695E" w14:textId="77777777" w:rsidR="00E65594" w:rsidRPr="00853CD5" w:rsidRDefault="00E65594" w:rsidP="003647B7">
      <w:pPr>
        <w:pStyle w:val="Bibliography"/>
        <w:ind w:left="567" w:hanging="567"/>
        <w:rPr>
          <w:rFonts w:ascii="Times New Roman" w:hAnsi="Times New Roman" w:cs="Times New Roman"/>
          <w:sz w:val="24"/>
          <w:szCs w:val="24"/>
        </w:rPr>
      </w:pPr>
      <w:proofErr w:type="spellStart"/>
      <w:r w:rsidRPr="00853CD5">
        <w:rPr>
          <w:rFonts w:ascii="Times New Roman" w:hAnsi="Times New Roman" w:cs="Times New Roman"/>
          <w:sz w:val="24"/>
          <w:szCs w:val="24"/>
        </w:rPr>
        <w:t>Pigati</w:t>
      </w:r>
      <w:proofErr w:type="spellEnd"/>
      <w:r w:rsidRPr="00853CD5">
        <w:rPr>
          <w:rFonts w:ascii="Times New Roman" w:hAnsi="Times New Roman" w:cs="Times New Roman"/>
          <w:sz w:val="24"/>
          <w:szCs w:val="24"/>
        </w:rPr>
        <w:t xml:space="preserve">, J.S., </w:t>
      </w:r>
      <w:proofErr w:type="spellStart"/>
      <w:r w:rsidRPr="00853CD5">
        <w:rPr>
          <w:rFonts w:ascii="Times New Roman" w:hAnsi="Times New Roman" w:cs="Times New Roman"/>
          <w:sz w:val="24"/>
          <w:szCs w:val="24"/>
        </w:rPr>
        <w:t>Rech</w:t>
      </w:r>
      <w:proofErr w:type="spellEnd"/>
      <w:r w:rsidRPr="00853CD5">
        <w:rPr>
          <w:rFonts w:ascii="Times New Roman" w:hAnsi="Times New Roman" w:cs="Times New Roman"/>
          <w:sz w:val="24"/>
          <w:szCs w:val="24"/>
        </w:rPr>
        <w:t xml:space="preserve">, J.A., Nekola, J.C., 2010. Radiocarbon dating of small terrestrial gastropod shells in North America. Quat. </w:t>
      </w:r>
      <w:proofErr w:type="spellStart"/>
      <w:r w:rsidRPr="00853CD5">
        <w:rPr>
          <w:rFonts w:ascii="Times New Roman" w:hAnsi="Times New Roman" w:cs="Times New Roman"/>
          <w:sz w:val="24"/>
          <w:szCs w:val="24"/>
        </w:rPr>
        <w:t>Geochronol</w:t>
      </w:r>
      <w:proofErr w:type="spellEnd"/>
      <w:r w:rsidRPr="00853CD5">
        <w:rPr>
          <w:rFonts w:ascii="Times New Roman" w:hAnsi="Times New Roman" w:cs="Times New Roman"/>
          <w:sz w:val="24"/>
          <w:szCs w:val="24"/>
        </w:rPr>
        <w:t>. 5, 519–532. https://doi.org/10.1016/j.quageo.2010.01.001</w:t>
      </w:r>
    </w:p>
    <w:p w14:paraId="76C1FC1C" w14:textId="77777777" w:rsidR="00E65594" w:rsidRPr="00853CD5" w:rsidRDefault="00E65594" w:rsidP="003647B7">
      <w:pPr>
        <w:pStyle w:val="Bibliography"/>
        <w:ind w:left="567" w:hanging="567"/>
        <w:rPr>
          <w:rFonts w:ascii="Times New Roman" w:hAnsi="Times New Roman" w:cs="Times New Roman"/>
          <w:sz w:val="24"/>
          <w:szCs w:val="24"/>
        </w:rPr>
      </w:pPr>
      <w:proofErr w:type="spellStart"/>
      <w:r w:rsidRPr="00853CD5">
        <w:rPr>
          <w:rFonts w:ascii="Times New Roman" w:hAnsi="Times New Roman" w:cs="Times New Roman"/>
          <w:sz w:val="24"/>
          <w:szCs w:val="24"/>
        </w:rPr>
        <w:t>Reilinger</w:t>
      </w:r>
      <w:proofErr w:type="spellEnd"/>
      <w:r w:rsidRPr="00853CD5">
        <w:rPr>
          <w:rFonts w:ascii="Times New Roman" w:hAnsi="Times New Roman" w:cs="Times New Roman"/>
          <w:sz w:val="24"/>
          <w:szCs w:val="24"/>
        </w:rPr>
        <w:t xml:space="preserve">, R., McClusky, S., </w:t>
      </w:r>
      <w:proofErr w:type="spellStart"/>
      <w:r w:rsidRPr="00853CD5">
        <w:rPr>
          <w:rFonts w:ascii="Times New Roman" w:hAnsi="Times New Roman" w:cs="Times New Roman"/>
          <w:sz w:val="24"/>
          <w:szCs w:val="24"/>
        </w:rPr>
        <w:t>Vernant</w:t>
      </w:r>
      <w:proofErr w:type="spellEnd"/>
      <w:r w:rsidRPr="00853CD5">
        <w:rPr>
          <w:rFonts w:ascii="Times New Roman" w:hAnsi="Times New Roman" w:cs="Times New Roman"/>
          <w:sz w:val="24"/>
          <w:szCs w:val="24"/>
        </w:rPr>
        <w:t xml:space="preserve">, P., Lawrence, S., </w:t>
      </w:r>
      <w:proofErr w:type="spellStart"/>
      <w:r w:rsidRPr="00853CD5">
        <w:rPr>
          <w:rFonts w:ascii="Times New Roman" w:hAnsi="Times New Roman" w:cs="Times New Roman"/>
          <w:sz w:val="24"/>
          <w:szCs w:val="24"/>
        </w:rPr>
        <w:t>Ergintav</w:t>
      </w:r>
      <w:proofErr w:type="spellEnd"/>
      <w:r w:rsidRPr="00853CD5">
        <w:rPr>
          <w:rFonts w:ascii="Times New Roman" w:hAnsi="Times New Roman" w:cs="Times New Roman"/>
          <w:sz w:val="24"/>
          <w:szCs w:val="24"/>
        </w:rPr>
        <w:t xml:space="preserve">, S., </w:t>
      </w:r>
      <w:proofErr w:type="spellStart"/>
      <w:r w:rsidRPr="00853CD5">
        <w:rPr>
          <w:rFonts w:ascii="Times New Roman" w:hAnsi="Times New Roman" w:cs="Times New Roman"/>
          <w:sz w:val="24"/>
          <w:szCs w:val="24"/>
        </w:rPr>
        <w:t>Cakmak</w:t>
      </w:r>
      <w:proofErr w:type="spellEnd"/>
      <w:r w:rsidRPr="00853CD5">
        <w:rPr>
          <w:rFonts w:ascii="Times New Roman" w:hAnsi="Times New Roman" w:cs="Times New Roman"/>
          <w:sz w:val="24"/>
          <w:szCs w:val="24"/>
        </w:rPr>
        <w:t xml:space="preserve">, R., </w:t>
      </w:r>
      <w:proofErr w:type="spellStart"/>
      <w:r w:rsidRPr="00853CD5">
        <w:rPr>
          <w:rFonts w:ascii="Times New Roman" w:hAnsi="Times New Roman" w:cs="Times New Roman"/>
          <w:sz w:val="24"/>
          <w:szCs w:val="24"/>
        </w:rPr>
        <w:t>Ozener</w:t>
      </w:r>
      <w:proofErr w:type="spellEnd"/>
      <w:r w:rsidRPr="00853CD5">
        <w:rPr>
          <w:rFonts w:ascii="Times New Roman" w:hAnsi="Times New Roman" w:cs="Times New Roman"/>
          <w:sz w:val="24"/>
          <w:szCs w:val="24"/>
        </w:rPr>
        <w:t xml:space="preserve">, H., </w:t>
      </w:r>
      <w:proofErr w:type="spellStart"/>
      <w:r w:rsidRPr="00853CD5">
        <w:rPr>
          <w:rFonts w:ascii="Times New Roman" w:hAnsi="Times New Roman" w:cs="Times New Roman"/>
          <w:sz w:val="24"/>
          <w:szCs w:val="24"/>
        </w:rPr>
        <w:t>Kadirov</w:t>
      </w:r>
      <w:proofErr w:type="spellEnd"/>
      <w:r w:rsidRPr="00853CD5">
        <w:rPr>
          <w:rFonts w:ascii="Times New Roman" w:hAnsi="Times New Roman" w:cs="Times New Roman"/>
          <w:sz w:val="24"/>
          <w:szCs w:val="24"/>
        </w:rPr>
        <w:t xml:space="preserve">, F., </w:t>
      </w:r>
      <w:proofErr w:type="spellStart"/>
      <w:r w:rsidRPr="00853CD5">
        <w:rPr>
          <w:rFonts w:ascii="Times New Roman" w:hAnsi="Times New Roman" w:cs="Times New Roman"/>
          <w:sz w:val="24"/>
          <w:szCs w:val="24"/>
        </w:rPr>
        <w:t>Guliev</w:t>
      </w:r>
      <w:proofErr w:type="spellEnd"/>
      <w:r w:rsidRPr="00853CD5">
        <w:rPr>
          <w:rFonts w:ascii="Times New Roman" w:hAnsi="Times New Roman" w:cs="Times New Roman"/>
          <w:sz w:val="24"/>
          <w:szCs w:val="24"/>
        </w:rPr>
        <w:t xml:space="preserve">, I., </w:t>
      </w:r>
      <w:proofErr w:type="spellStart"/>
      <w:r w:rsidRPr="00853CD5">
        <w:rPr>
          <w:rFonts w:ascii="Times New Roman" w:hAnsi="Times New Roman" w:cs="Times New Roman"/>
          <w:sz w:val="24"/>
          <w:szCs w:val="24"/>
        </w:rPr>
        <w:t>Stepanyan</w:t>
      </w:r>
      <w:proofErr w:type="spellEnd"/>
      <w:r w:rsidRPr="00853CD5">
        <w:rPr>
          <w:rFonts w:ascii="Times New Roman" w:hAnsi="Times New Roman" w:cs="Times New Roman"/>
          <w:sz w:val="24"/>
          <w:szCs w:val="24"/>
        </w:rPr>
        <w:t xml:space="preserve">, R., </w:t>
      </w:r>
      <w:proofErr w:type="spellStart"/>
      <w:r w:rsidRPr="00853CD5">
        <w:rPr>
          <w:rFonts w:ascii="Times New Roman" w:hAnsi="Times New Roman" w:cs="Times New Roman"/>
          <w:sz w:val="24"/>
          <w:szCs w:val="24"/>
        </w:rPr>
        <w:t>Nadariya</w:t>
      </w:r>
      <w:proofErr w:type="spellEnd"/>
      <w:r w:rsidRPr="00853CD5">
        <w:rPr>
          <w:rFonts w:ascii="Times New Roman" w:hAnsi="Times New Roman" w:cs="Times New Roman"/>
          <w:sz w:val="24"/>
          <w:szCs w:val="24"/>
        </w:rPr>
        <w:t xml:space="preserve">, M., </w:t>
      </w:r>
      <w:proofErr w:type="spellStart"/>
      <w:r w:rsidRPr="00853CD5">
        <w:rPr>
          <w:rFonts w:ascii="Times New Roman" w:hAnsi="Times New Roman" w:cs="Times New Roman"/>
          <w:sz w:val="24"/>
          <w:szCs w:val="24"/>
        </w:rPr>
        <w:t>Hahubia</w:t>
      </w:r>
      <w:proofErr w:type="spellEnd"/>
      <w:r w:rsidRPr="00853CD5">
        <w:rPr>
          <w:rFonts w:ascii="Times New Roman" w:hAnsi="Times New Roman" w:cs="Times New Roman"/>
          <w:sz w:val="24"/>
          <w:szCs w:val="24"/>
        </w:rPr>
        <w:t xml:space="preserve">, G., Mahmoud, S., </w:t>
      </w:r>
      <w:proofErr w:type="spellStart"/>
      <w:r w:rsidRPr="00853CD5">
        <w:rPr>
          <w:rFonts w:ascii="Times New Roman" w:hAnsi="Times New Roman" w:cs="Times New Roman"/>
          <w:sz w:val="24"/>
          <w:szCs w:val="24"/>
        </w:rPr>
        <w:t>Sakr</w:t>
      </w:r>
      <w:proofErr w:type="spellEnd"/>
      <w:r w:rsidRPr="00853CD5">
        <w:rPr>
          <w:rFonts w:ascii="Times New Roman" w:hAnsi="Times New Roman" w:cs="Times New Roman"/>
          <w:sz w:val="24"/>
          <w:szCs w:val="24"/>
        </w:rPr>
        <w:t xml:space="preserve">, K., </w:t>
      </w:r>
      <w:proofErr w:type="spellStart"/>
      <w:r w:rsidRPr="00853CD5">
        <w:rPr>
          <w:rFonts w:ascii="Times New Roman" w:hAnsi="Times New Roman" w:cs="Times New Roman"/>
          <w:sz w:val="24"/>
          <w:szCs w:val="24"/>
        </w:rPr>
        <w:t>ArRajehi</w:t>
      </w:r>
      <w:proofErr w:type="spellEnd"/>
      <w:r w:rsidRPr="00853CD5">
        <w:rPr>
          <w:rFonts w:ascii="Times New Roman" w:hAnsi="Times New Roman" w:cs="Times New Roman"/>
          <w:sz w:val="24"/>
          <w:szCs w:val="24"/>
        </w:rPr>
        <w:t xml:space="preserve">, A., </w:t>
      </w:r>
      <w:proofErr w:type="spellStart"/>
      <w:r w:rsidRPr="00853CD5">
        <w:rPr>
          <w:rFonts w:ascii="Times New Roman" w:hAnsi="Times New Roman" w:cs="Times New Roman"/>
          <w:sz w:val="24"/>
          <w:szCs w:val="24"/>
        </w:rPr>
        <w:t>Paradissis</w:t>
      </w:r>
      <w:proofErr w:type="spellEnd"/>
      <w:r w:rsidRPr="00853CD5">
        <w:rPr>
          <w:rFonts w:ascii="Times New Roman" w:hAnsi="Times New Roman" w:cs="Times New Roman"/>
          <w:sz w:val="24"/>
          <w:szCs w:val="24"/>
        </w:rPr>
        <w:t>, D., Al‐</w:t>
      </w:r>
      <w:proofErr w:type="spellStart"/>
      <w:r w:rsidRPr="00853CD5">
        <w:rPr>
          <w:rFonts w:ascii="Times New Roman" w:hAnsi="Times New Roman" w:cs="Times New Roman"/>
          <w:sz w:val="24"/>
          <w:szCs w:val="24"/>
        </w:rPr>
        <w:t>Aydrus</w:t>
      </w:r>
      <w:proofErr w:type="spellEnd"/>
      <w:r w:rsidRPr="00853CD5">
        <w:rPr>
          <w:rFonts w:ascii="Times New Roman" w:hAnsi="Times New Roman" w:cs="Times New Roman"/>
          <w:sz w:val="24"/>
          <w:szCs w:val="24"/>
        </w:rPr>
        <w:t xml:space="preserve">, A., </w:t>
      </w:r>
      <w:proofErr w:type="spellStart"/>
      <w:r w:rsidRPr="00853CD5">
        <w:rPr>
          <w:rFonts w:ascii="Times New Roman" w:hAnsi="Times New Roman" w:cs="Times New Roman"/>
          <w:sz w:val="24"/>
          <w:szCs w:val="24"/>
        </w:rPr>
        <w:t>Prilepin</w:t>
      </w:r>
      <w:proofErr w:type="spellEnd"/>
      <w:r w:rsidRPr="00853CD5">
        <w:rPr>
          <w:rFonts w:ascii="Times New Roman" w:hAnsi="Times New Roman" w:cs="Times New Roman"/>
          <w:sz w:val="24"/>
          <w:szCs w:val="24"/>
        </w:rPr>
        <w:t xml:space="preserve">, M., Guseva, T., </w:t>
      </w:r>
      <w:proofErr w:type="spellStart"/>
      <w:r w:rsidRPr="00853CD5">
        <w:rPr>
          <w:rFonts w:ascii="Times New Roman" w:hAnsi="Times New Roman" w:cs="Times New Roman"/>
          <w:sz w:val="24"/>
          <w:szCs w:val="24"/>
        </w:rPr>
        <w:t>Evren</w:t>
      </w:r>
      <w:proofErr w:type="spellEnd"/>
      <w:r w:rsidRPr="00853CD5">
        <w:rPr>
          <w:rFonts w:ascii="Times New Roman" w:hAnsi="Times New Roman" w:cs="Times New Roman"/>
          <w:sz w:val="24"/>
          <w:szCs w:val="24"/>
        </w:rPr>
        <w:t xml:space="preserve">, E., </w:t>
      </w:r>
      <w:proofErr w:type="spellStart"/>
      <w:r w:rsidRPr="00853CD5">
        <w:rPr>
          <w:rFonts w:ascii="Times New Roman" w:hAnsi="Times New Roman" w:cs="Times New Roman"/>
          <w:sz w:val="24"/>
          <w:szCs w:val="24"/>
        </w:rPr>
        <w:t>Dmitrotsa</w:t>
      </w:r>
      <w:proofErr w:type="spellEnd"/>
      <w:r w:rsidRPr="00853CD5">
        <w:rPr>
          <w:rFonts w:ascii="Times New Roman" w:hAnsi="Times New Roman" w:cs="Times New Roman"/>
          <w:sz w:val="24"/>
          <w:szCs w:val="24"/>
        </w:rPr>
        <w:t xml:space="preserve">, A., </w:t>
      </w:r>
      <w:proofErr w:type="spellStart"/>
      <w:r w:rsidRPr="00853CD5">
        <w:rPr>
          <w:rFonts w:ascii="Times New Roman" w:hAnsi="Times New Roman" w:cs="Times New Roman"/>
          <w:sz w:val="24"/>
          <w:szCs w:val="24"/>
        </w:rPr>
        <w:t>Filikov</w:t>
      </w:r>
      <w:proofErr w:type="spellEnd"/>
      <w:r w:rsidRPr="00853CD5">
        <w:rPr>
          <w:rFonts w:ascii="Times New Roman" w:hAnsi="Times New Roman" w:cs="Times New Roman"/>
          <w:sz w:val="24"/>
          <w:szCs w:val="24"/>
        </w:rPr>
        <w:t>, S.V., Gomez, F., Al‐</w:t>
      </w:r>
      <w:proofErr w:type="spellStart"/>
      <w:r w:rsidRPr="00853CD5">
        <w:rPr>
          <w:rFonts w:ascii="Times New Roman" w:hAnsi="Times New Roman" w:cs="Times New Roman"/>
          <w:sz w:val="24"/>
          <w:szCs w:val="24"/>
        </w:rPr>
        <w:t>Ghazzi</w:t>
      </w:r>
      <w:proofErr w:type="spellEnd"/>
      <w:r w:rsidRPr="00853CD5">
        <w:rPr>
          <w:rFonts w:ascii="Times New Roman" w:hAnsi="Times New Roman" w:cs="Times New Roman"/>
          <w:sz w:val="24"/>
          <w:szCs w:val="24"/>
        </w:rPr>
        <w:t xml:space="preserve">, R., Karam, G., 2006. GPS constraints on continental deformation in the Africa-Arabia-Eurasia continental collision zone and </w:t>
      </w:r>
      <w:r w:rsidRPr="00853CD5">
        <w:rPr>
          <w:rFonts w:ascii="Times New Roman" w:hAnsi="Times New Roman" w:cs="Times New Roman"/>
          <w:sz w:val="24"/>
          <w:szCs w:val="24"/>
        </w:rPr>
        <w:lastRenderedPageBreak/>
        <w:t xml:space="preserve">implications for the dynamics of plate interactions. J. </w:t>
      </w:r>
      <w:proofErr w:type="spellStart"/>
      <w:r w:rsidRPr="00853CD5">
        <w:rPr>
          <w:rFonts w:ascii="Times New Roman" w:hAnsi="Times New Roman" w:cs="Times New Roman"/>
          <w:sz w:val="24"/>
          <w:szCs w:val="24"/>
        </w:rPr>
        <w:t>Geophys</w:t>
      </w:r>
      <w:proofErr w:type="spellEnd"/>
      <w:r w:rsidRPr="00853CD5">
        <w:rPr>
          <w:rFonts w:ascii="Times New Roman" w:hAnsi="Times New Roman" w:cs="Times New Roman"/>
          <w:sz w:val="24"/>
          <w:szCs w:val="24"/>
        </w:rPr>
        <w:t>. Res. Solid Earth 111. https://doi.org/10.1029/2005JB004051</w:t>
      </w:r>
    </w:p>
    <w:p w14:paraId="0AF1AA86" w14:textId="77777777" w:rsidR="00E65594" w:rsidRPr="00853CD5" w:rsidRDefault="00E65594" w:rsidP="003647B7">
      <w:pPr>
        <w:pStyle w:val="Bibliography"/>
        <w:ind w:left="567" w:hanging="567"/>
        <w:rPr>
          <w:rFonts w:ascii="Times New Roman" w:hAnsi="Times New Roman" w:cs="Times New Roman"/>
          <w:sz w:val="24"/>
          <w:szCs w:val="24"/>
        </w:rPr>
      </w:pPr>
      <w:proofErr w:type="spellStart"/>
      <w:r w:rsidRPr="00853CD5">
        <w:rPr>
          <w:rFonts w:ascii="Times New Roman" w:hAnsi="Times New Roman" w:cs="Times New Roman"/>
          <w:sz w:val="24"/>
          <w:szCs w:val="24"/>
        </w:rPr>
        <w:t>Shebalin</w:t>
      </w:r>
      <w:proofErr w:type="spellEnd"/>
      <w:r w:rsidRPr="00853CD5">
        <w:rPr>
          <w:rFonts w:ascii="Times New Roman" w:hAnsi="Times New Roman" w:cs="Times New Roman"/>
          <w:sz w:val="24"/>
          <w:szCs w:val="24"/>
        </w:rPr>
        <w:t xml:space="preserve">, N.V., </w:t>
      </w:r>
      <w:proofErr w:type="spellStart"/>
      <w:r w:rsidRPr="00853CD5">
        <w:rPr>
          <w:rFonts w:ascii="Times New Roman" w:hAnsi="Times New Roman" w:cs="Times New Roman"/>
          <w:sz w:val="24"/>
          <w:szCs w:val="24"/>
        </w:rPr>
        <w:t>Kondorskai͡a</w:t>
      </w:r>
      <w:proofErr w:type="spellEnd"/>
      <w:r w:rsidRPr="00853CD5">
        <w:rPr>
          <w:rFonts w:ascii="Times New Roman" w:hAnsi="Times New Roman" w:cs="Times New Roman"/>
          <w:sz w:val="24"/>
          <w:szCs w:val="24"/>
        </w:rPr>
        <w:t>, N.V., World Data Center A for Solid Earth Geophysics, 1982. New catalog of strong earthquakes in the U.S.S.R. from ancient times through 1977, Report SE ;31. World Data Center A for Solid Earth Geophysics, Boulder, Colo.</w:t>
      </w:r>
    </w:p>
    <w:p w14:paraId="74277CF7" w14:textId="77777777" w:rsidR="00E65594" w:rsidRPr="00853CD5" w:rsidRDefault="00E65594" w:rsidP="003647B7">
      <w:pPr>
        <w:pStyle w:val="Bibliography"/>
        <w:ind w:left="567" w:hanging="567"/>
        <w:rPr>
          <w:rFonts w:ascii="Times New Roman" w:hAnsi="Times New Roman" w:cs="Times New Roman"/>
          <w:sz w:val="24"/>
          <w:szCs w:val="24"/>
        </w:rPr>
      </w:pPr>
      <w:r w:rsidRPr="00853CD5">
        <w:rPr>
          <w:rFonts w:ascii="Times New Roman" w:hAnsi="Times New Roman" w:cs="Times New Roman"/>
          <w:sz w:val="24"/>
          <w:szCs w:val="24"/>
        </w:rPr>
        <w:t xml:space="preserve">Tavernier, J.-B., 1678. The Six Voyages of John Baptista Tavernier, a Noble Man of France Now Living, through </w:t>
      </w:r>
      <w:proofErr w:type="spellStart"/>
      <w:r w:rsidRPr="00853CD5">
        <w:rPr>
          <w:rFonts w:ascii="Times New Roman" w:hAnsi="Times New Roman" w:cs="Times New Roman"/>
          <w:sz w:val="24"/>
          <w:szCs w:val="24"/>
        </w:rPr>
        <w:t>Turky</w:t>
      </w:r>
      <w:proofErr w:type="spellEnd"/>
      <w:r w:rsidRPr="00853CD5">
        <w:rPr>
          <w:rFonts w:ascii="Times New Roman" w:hAnsi="Times New Roman" w:cs="Times New Roman"/>
          <w:sz w:val="24"/>
          <w:szCs w:val="24"/>
        </w:rPr>
        <w:t xml:space="preserve"> into Persia and the East-Indies, Finished in the Year </w:t>
      </w:r>
      <w:proofErr w:type="gramStart"/>
      <w:r w:rsidRPr="00853CD5">
        <w:rPr>
          <w:rFonts w:ascii="Times New Roman" w:hAnsi="Times New Roman" w:cs="Times New Roman"/>
          <w:sz w:val="24"/>
          <w:szCs w:val="24"/>
        </w:rPr>
        <w:t>1670 :</w:t>
      </w:r>
      <w:proofErr w:type="gramEnd"/>
      <w:r w:rsidRPr="00853CD5">
        <w:rPr>
          <w:rFonts w:ascii="Times New Roman" w:hAnsi="Times New Roman" w:cs="Times New Roman"/>
          <w:sz w:val="24"/>
          <w:szCs w:val="24"/>
        </w:rPr>
        <w:t xml:space="preserve"> Giving an Account of the State of Those Countries : Illustrated with Divers Sculptures ; Together with a New Relation of the Present Grand </w:t>
      </w:r>
      <w:proofErr w:type="spellStart"/>
      <w:r w:rsidRPr="00853CD5">
        <w:rPr>
          <w:rFonts w:ascii="Times New Roman" w:hAnsi="Times New Roman" w:cs="Times New Roman"/>
          <w:sz w:val="24"/>
          <w:szCs w:val="24"/>
        </w:rPr>
        <w:t>Seignor’s</w:t>
      </w:r>
      <w:proofErr w:type="spellEnd"/>
      <w:r w:rsidRPr="00853CD5">
        <w:rPr>
          <w:rFonts w:ascii="Times New Roman" w:hAnsi="Times New Roman" w:cs="Times New Roman"/>
          <w:sz w:val="24"/>
          <w:szCs w:val="24"/>
        </w:rPr>
        <w:t xml:space="preserve"> Seraglio, by the Same Author. John Philips, London.</w:t>
      </w:r>
    </w:p>
    <w:p w14:paraId="29F208F7" w14:textId="77777777" w:rsidR="00E65594" w:rsidRPr="00853CD5" w:rsidRDefault="00E65594" w:rsidP="003647B7">
      <w:pPr>
        <w:pStyle w:val="Bibliography"/>
        <w:ind w:left="567" w:hanging="567"/>
        <w:rPr>
          <w:rFonts w:ascii="Times New Roman" w:hAnsi="Times New Roman" w:cs="Times New Roman"/>
          <w:sz w:val="24"/>
          <w:szCs w:val="24"/>
        </w:rPr>
      </w:pPr>
      <w:proofErr w:type="spellStart"/>
      <w:r w:rsidRPr="00853CD5">
        <w:rPr>
          <w:rFonts w:ascii="Times New Roman" w:hAnsi="Times New Roman" w:cs="Times New Roman"/>
          <w:sz w:val="24"/>
          <w:szCs w:val="24"/>
        </w:rPr>
        <w:t>Telesca</w:t>
      </w:r>
      <w:proofErr w:type="spellEnd"/>
      <w:r w:rsidRPr="00853CD5">
        <w:rPr>
          <w:rFonts w:ascii="Times New Roman" w:hAnsi="Times New Roman" w:cs="Times New Roman"/>
          <w:sz w:val="24"/>
          <w:szCs w:val="24"/>
        </w:rPr>
        <w:t xml:space="preserve">, L., </w:t>
      </w:r>
      <w:proofErr w:type="spellStart"/>
      <w:r w:rsidRPr="00853CD5">
        <w:rPr>
          <w:rFonts w:ascii="Times New Roman" w:hAnsi="Times New Roman" w:cs="Times New Roman"/>
          <w:sz w:val="24"/>
          <w:szCs w:val="24"/>
        </w:rPr>
        <w:t>Kadirov</w:t>
      </w:r>
      <w:proofErr w:type="spellEnd"/>
      <w:r w:rsidRPr="00853CD5">
        <w:rPr>
          <w:rFonts w:ascii="Times New Roman" w:hAnsi="Times New Roman" w:cs="Times New Roman"/>
          <w:sz w:val="24"/>
          <w:szCs w:val="24"/>
        </w:rPr>
        <w:t xml:space="preserve">, F., </w:t>
      </w:r>
      <w:proofErr w:type="spellStart"/>
      <w:r w:rsidRPr="00853CD5">
        <w:rPr>
          <w:rFonts w:ascii="Times New Roman" w:hAnsi="Times New Roman" w:cs="Times New Roman"/>
          <w:sz w:val="24"/>
          <w:szCs w:val="24"/>
        </w:rPr>
        <w:t>Yetirmishli</w:t>
      </w:r>
      <w:proofErr w:type="spellEnd"/>
      <w:r w:rsidRPr="00853CD5">
        <w:rPr>
          <w:rFonts w:ascii="Times New Roman" w:hAnsi="Times New Roman" w:cs="Times New Roman"/>
          <w:sz w:val="24"/>
          <w:szCs w:val="24"/>
        </w:rPr>
        <w:t xml:space="preserve">, G., Safarov, R., Kazimova, S., 2018. Joint Use of Seismological and Topological Statistical Methods for the Analysis of 2010–2016 Azerbaijan Seismicity. Pure Appl. </w:t>
      </w:r>
      <w:proofErr w:type="spellStart"/>
      <w:r w:rsidRPr="00853CD5">
        <w:rPr>
          <w:rFonts w:ascii="Times New Roman" w:hAnsi="Times New Roman" w:cs="Times New Roman"/>
          <w:sz w:val="24"/>
          <w:szCs w:val="24"/>
        </w:rPr>
        <w:t>Geophys</w:t>
      </w:r>
      <w:proofErr w:type="spellEnd"/>
      <w:r w:rsidRPr="00853CD5">
        <w:rPr>
          <w:rFonts w:ascii="Times New Roman" w:hAnsi="Times New Roman" w:cs="Times New Roman"/>
          <w:sz w:val="24"/>
          <w:szCs w:val="24"/>
        </w:rPr>
        <w:t>. 175, 4225–4239. https://doi.org/10.1007/s00024-018-1945-3</w:t>
      </w:r>
    </w:p>
    <w:p w14:paraId="454EC1AC" w14:textId="77777777" w:rsidR="00E65594" w:rsidRPr="00853CD5" w:rsidRDefault="00E65594" w:rsidP="003647B7">
      <w:pPr>
        <w:pStyle w:val="Bibliography"/>
        <w:ind w:left="567" w:hanging="567"/>
        <w:rPr>
          <w:rFonts w:ascii="Times New Roman" w:hAnsi="Times New Roman" w:cs="Times New Roman"/>
          <w:sz w:val="24"/>
          <w:szCs w:val="24"/>
        </w:rPr>
      </w:pPr>
      <w:r w:rsidRPr="00853CD5">
        <w:rPr>
          <w:rFonts w:ascii="Times New Roman" w:hAnsi="Times New Roman" w:cs="Times New Roman"/>
          <w:sz w:val="24"/>
          <w:szCs w:val="24"/>
        </w:rPr>
        <w:t>Weber, V., 1903. Shamakhi Earthquake of 13 February 1902, Proceedings of the St. Petersburg Geological Committee.</w:t>
      </w:r>
    </w:p>
    <w:p w14:paraId="7968CA6F" w14:textId="77777777" w:rsidR="00E65594" w:rsidRPr="00853CD5" w:rsidRDefault="00E65594" w:rsidP="003647B7">
      <w:pPr>
        <w:pStyle w:val="Bibliography"/>
        <w:ind w:left="567" w:hanging="567"/>
        <w:rPr>
          <w:rFonts w:ascii="Times New Roman" w:hAnsi="Times New Roman" w:cs="Times New Roman"/>
          <w:sz w:val="24"/>
          <w:szCs w:val="24"/>
        </w:rPr>
      </w:pPr>
      <w:proofErr w:type="spellStart"/>
      <w:r w:rsidRPr="00853CD5">
        <w:rPr>
          <w:rFonts w:ascii="Times New Roman" w:hAnsi="Times New Roman" w:cs="Times New Roman"/>
          <w:sz w:val="24"/>
          <w:szCs w:val="24"/>
        </w:rPr>
        <w:t>Yetirmishli</w:t>
      </w:r>
      <w:proofErr w:type="spellEnd"/>
      <w:r w:rsidRPr="00853CD5">
        <w:rPr>
          <w:rFonts w:ascii="Times New Roman" w:hAnsi="Times New Roman" w:cs="Times New Roman"/>
          <w:sz w:val="24"/>
          <w:szCs w:val="24"/>
        </w:rPr>
        <w:t>, G.J., Ismayilova, S.S., Kazimova, S.E., 2021. Seismicity of the territory of Azerbaijan in 2019. Seism. Obs. Territ. Azerbaijan 19, 3–18.</w:t>
      </w:r>
    </w:p>
    <w:p w14:paraId="442AF431" w14:textId="77777777" w:rsidR="00E65594" w:rsidRPr="00853CD5" w:rsidRDefault="00E65594" w:rsidP="003647B7">
      <w:pPr>
        <w:pStyle w:val="Bibliography"/>
        <w:ind w:left="567" w:hanging="567"/>
        <w:rPr>
          <w:rFonts w:ascii="Times New Roman" w:hAnsi="Times New Roman" w:cs="Times New Roman"/>
          <w:sz w:val="24"/>
          <w:szCs w:val="24"/>
        </w:rPr>
      </w:pPr>
      <w:proofErr w:type="spellStart"/>
      <w:r w:rsidRPr="00853CD5">
        <w:rPr>
          <w:rFonts w:ascii="Times New Roman" w:hAnsi="Times New Roman" w:cs="Times New Roman"/>
          <w:sz w:val="24"/>
          <w:szCs w:val="24"/>
        </w:rPr>
        <w:t>Yetirmishli</w:t>
      </w:r>
      <w:proofErr w:type="spellEnd"/>
      <w:r w:rsidRPr="00853CD5">
        <w:rPr>
          <w:rFonts w:ascii="Times New Roman" w:hAnsi="Times New Roman" w:cs="Times New Roman"/>
          <w:sz w:val="24"/>
          <w:szCs w:val="24"/>
        </w:rPr>
        <w:t xml:space="preserve">, G.J., </w:t>
      </w:r>
      <w:proofErr w:type="spellStart"/>
      <w:r w:rsidRPr="00853CD5">
        <w:rPr>
          <w:rFonts w:ascii="Times New Roman" w:hAnsi="Times New Roman" w:cs="Times New Roman"/>
          <w:sz w:val="24"/>
          <w:szCs w:val="24"/>
        </w:rPr>
        <w:t>Kazimov</w:t>
      </w:r>
      <w:proofErr w:type="spellEnd"/>
      <w:r w:rsidRPr="00853CD5">
        <w:rPr>
          <w:rFonts w:ascii="Times New Roman" w:hAnsi="Times New Roman" w:cs="Times New Roman"/>
          <w:sz w:val="24"/>
          <w:szCs w:val="24"/>
        </w:rPr>
        <w:t>, I.E., Kazimova, A.F., 2022. Analysis of Modern Movements of Earth Crust Blocks in Azerbaijan According to the Data of GPS Stations in 2020-2021. Seism. Obs. Territ. Azerbaijan 21, 19–24.</w:t>
      </w:r>
    </w:p>
    <w:p w14:paraId="3EE6DCFC" w14:textId="77777777" w:rsidR="00E65594" w:rsidRPr="00853CD5" w:rsidRDefault="00E65594" w:rsidP="003647B7">
      <w:pPr>
        <w:pStyle w:val="Bibliography"/>
        <w:ind w:left="567" w:hanging="567"/>
        <w:rPr>
          <w:rFonts w:ascii="Times New Roman" w:hAnsi="Times New Roman" w:cs="Times New Roman"/>
          <w:sz w:val="24"/>
          <w:szCs w:val="24"/>
        </w:rPr>
      </w:pPr>
      <w:r w:rsidRPr="00853CD5">
        <w:rPr>
          <w:rFonts w:ascii="Times New Roman" w:hAnsi="Times New Roman" w:cs="Times New Roman"/>
          <w:sz w:val="24"/>
          <w:szCs w:val="24"/>
        </w:rPr>
        <w:t>Zhang, H., Aldana-</w:t>
      </w:r>
      <w:proofErr w:type="spellStart"/>
      <w:r w:rsidRPr="00853CD5">
        <w:rPr>
          <w:rFonts w:ascii="Times New Roman" w:hAnsi="Times New Roman" w:cs="Times New Roman"/>
          <w:sz w:val="24"/>
          <w:szCs w:val="24"/>
        </w:rPr>
        <w:t>Jague</w:t>
      </w:r>
      <w:proofErr w:type="spellEnd"/>
      <w:r w:rsidRPr="00853CD5">
        <w:rPr>
          <w:rFonts w:ascii="Times New Roman" w:hAnsi="Times New Roman" w:cs="Times New Roman"/>
          <w:sz w:val="24"/>
          <w:szCs w:val="24"/>
        </w:rPr>
        <w:t xml:space="preserve">, E., </w:t>
      </w:r>
      <w:proofErr w:type="spellStart"/>
      <w:r w:rsidRPr="00853CD5">
        <w:rPr>
          <w:rFonts w:ascii="Times New Roman" w:hAnsi="Times New Roman" w:cs="Times New Roman"/>
          <w:sz w:val="24"/>
          <w:szCs w:val="24"/>
        </w:rPr>
        <w:t>Clapuyt</w:t>
      </w:r>
      <w:proofErr w:type="spellEnd"/>
      <w:r w:rsidRPr="00853CD5">
        <w:rPr>
          <w:rFonts w:ascii="Times New Roman" w:hAnsi="Times New Roman" w:cs="Times New Roman"/>
          <w:sz w:val="24"/>
          <w:szCs w:val="24"/>
        </w:rPr>
        <w:t xml:space="preserve">, F., Wilken, F., </w:t>
      </w:r>
      <w:proofErr w:type="spellStart"/>
      <w:r w:rsidRPr="00853CD5">
        <w:rPr>
          <w:rFonts w:ascii="Times New Roman" w:hAnsi="Times New Roman" w:cs="Times New Roman"/>
          <w:sz w:val="24"/>
          <w:szCs w:val="24"/>
        </w:rPr>
        <w:t>Vanacker</w:t>
      </w:r>
      <w:proofErr w:type="spellEnd"/>
      <w:r w:rsidRPr="00853CD5">
        <w:rPr>
          <w:rFonts w:ascii="Times New Roman" w:hAnsi="Times New Roman" w:cs="Times New Roman"/>
          <w:sz w:val="24"/>
          <w:szCs w:val="24"/>
        </w:rPr>
        <w:t xml:space="preserve">, V., Van Oost, K., 2019. Evaluating the potential of post-processing kinematic (PPK) georeferencing for UAV-based structure- from-motion (SfM) photogrammetry and surface change detection. Earth Surf. </w:t>
      </w:r>
      <w:proofErr w:type="spellStart"/>
      <w:r w:rsidRPr="00853CD5">
        <w:rPr>
          <w:rFonts w:ascii="Times New Roman" w:hAnsi="Times New Roman" w:cs="Times New Roman"/>
          <w:sz w:val="24"/>
          <w:szCs w:val="24"/>
        </w:rPr>
        <w:t>Dyn</w:t>
      </w:r>
      <w:proofErr w:type="spellEnd"/>
      <w:r w:rsidRPr="00853CD5">
        <w:rPr>
          <w:rFonts w:ascii="Times New Roman" w:hAnsi="Times New Roman" w:cs="Times New Roman"/>
          <w:sz w:val="24"/>
          <w:szCs w:val="24"/>
        </w:rPr>
        <w:t>. 7, 807–827. https://doi.org/10.5194/esurf-7-807-2019</w:t>
      </w:r>
    </w:p>
    <w:p w14:paraId="18A071BF" w14:textId="39D7CEBF" w:rsidR="00E65594" w:rsidRPr="00853CD5" w:rsidRDefault="00E65594" w:rsidP="003647B7">
      <w:pPr>
        <w:ind w:left="567" w:hanging="567"/>
        <w:rPr>
          <w:sz w:val="24"/>
          <w:szCs w:val="24"/>
        </w:rPr>
      </w:pPr>
      <w:r w:rsidRPr="00853CD5">
        <w:rPr>
          <w:sz w:val="24"/>
          <w:szCs w:val="24"/>
        </w:rPr>
        <w:fldChar w:fldCharType="end"/>
      </w:r>
      <w:r w:rsidRPr="00853CD5">
        <w:rPr>
          <w:sz w:val="24"/>
          <w:szCs w:val="24"/>
        </w:rPr>
        <w:br w:type="page"/>
      </w:r>
    </w:p>
    <w:p w14:paraId="5E385E4A" w14:textId="77777777" w:rsidR="00E65594" w:rsidRPr="003647B7" w:rsidRDefault="00E65594" w:rsidP="003647B7">
      <w:pPr>
        <w:pStyle w:val="Heading-AGU"/>
      </w:pPr>
      <w:r w:rsidRPr="003647B7">
        <w:lastRenderedPageBreak/>
        <w:t>Table 1. Radiocarbon sample data</w:t>
      </w:r>
    </w:p>
    <w:tbl>
      <w:tblPr>
        <w:tblW w:w="10095" w:type="dxa"/>
        <w:tblInd w:w="-240" w:type="dxa"/>
        <w:tblBorders>
          <w:top w:val="nil"/>
          <w:left w:val="nil"/>
          <w:bottom w:val="nil"/>
          <w:right w:val="nil"/>
          <w:insideH w:val="nil"/>
          <w:insideV w:val="nil"/>
        </w:tblBorders>
        <w:tblLayout w:type="fixed"/>
        <w:tblLook w:val="0600" w:firstRow="0" w:lastRow="0" w:firstColumn="0" w:lastColumn="0" w:noHBand="1" w:noVBand="1"/>
      </w:tblPr>
      <w:tblGrid>
        <w:gridCol w:w="645"/>
        <w:gridCol w:w="705"/>
        <w:gridCol w:w="375"/>
        <w:gridCol w:w="600"/>
        <w:gridCol w:w="645"/>
        <w:gridCol w:w="1035"/>
        <w:gridCol w:w="1005"/>
        <w:gridCol w:w="1575"/>
        <w:gridCol w:w="1095"/>
        <w:gridCol w:w="1215"/>
        <w:gridCol w:w="645"/>
        <w:gridCol w:w="555"/>
      </w:tblGrid>
      <w:tr w:rsidR="00E65594" w14:paraId="6E892C11" w14:textId="77777777" w:rsidTr="00DE5D01">
        <w:trPr>
          <w:trHeight w:val="540"/>
        </w:trPr>
        <w:tc>
          <w:tcPr>
            <w:tcW w:w="645" w:type="dxa"/>
            <w:tcBorders>
              <w:top w:val="nil"/>
              <w:left w:val="nil"/>
              <w:bottom w:val="nil"/>
              <w:right w:val="nil"/>
            </w:tcBorders>
            <w:tcMar>
              <w:top w:w="40" w:type="dxa"/>
              <w:left w:w="40" w:type="dxa"/>
              <w:bottom w:w="40" w:type="dxa"/>
              <w:right w:w="40" w:type="dxa"/>
            </w:tcMar>
            <w:vAlign w:val="center"/>
          </w:tcPr>
          <w:p w14:paraId="338615AD" w14:textId="77777777" w:rsidR="00E65594" w:rsidRDefault="00E65594" w:rsidP="00DE5D01">
            <w:pPr>
              <w:widowControl w:val="0"/>
              <w:jc w:val="center"/>
              <w:rPr>
                <w:sz w:val="16"/>
                <w:szCs w:val="16"/>
              </w:rPr>
            </w:pPr>
            <w:r>
              <w:rPr>
                <w:sz w:val="16"/>
                <w:szCs w:val="16"/>
              </w:rPr>
              <w:t>Sample Name</w:t>
            </w:r>
          </w:p>
        </w:tc>
        <w:tc>
          <w:tcPr>
            <w:tcW w:w="705" w:type="dxa"/>
            <w:tcBorders>
              <w:top w:val="nil"/>
              <w:left w:val="nil"/>
              <w:bottom w:val="nil"/>
              <w:right w:val="nil"/>
            </w:tcBorders>
            <w:tcMar>
              <w:top w:w="40" w:type="dxa"/>
              <w:left w:w="40" w:type="dxa"/>
              <w:bottom w:w="40" w:type="dxa"/>
              <w:right w:w="40" w:type="dxa"/>
            </w:tcMar>
            <w:vAlign w:val="center"/>
          </w:tcPr>
          <w:p w14:paraId="39FA4AB1" w14:textId="77777777" w:rsidR="00E65594" w:rsidRDefault="00E65594" w:rsidP="00DE5D01">
            <w:pPr>
              <w:widowControl w:val="0"/>
              <w:jc w:val="center"/>
              <w:rPr>
                <w:sz w:val="16"/>
                <w:szCs w:val="16"/>
              </w:rPr>
            </w:pPr>
            <w:r>
              <w:rPr>
                <w:sz w:val="16"/>
                <w:szCs w:val="16"/>
              </w:rPr>
              <w:t>Location</w:t>
            </w:r>
          </w:p>
        </w:tc>
        <w:tc>
          <w:tcPr>
            <w:tcW w:w="375" w:type="dxa"/>
            <w:tcBorders>
              <w:top w:val="nil"/>
              <w:left w:val="nil"/>
              <w:bottom w:val="nil"/>
              <w:right w:val="nil"/>
            </w:tcBorders>
            <w:tcMar>
              <w:top w:w="40" w:type="dxa"/>
              <w:left w:w="40" w:type="dxa"/>
              <w:bottom w:w="40" w:type="dxa"/>
              <w:right w:w="40" w:type="dxa"/>
            </w:tcMar>
            <w:vAlign w:val="center"/>
          </w:tcPr>
          <w:p w14:paraId="52102EA8" w14:textId="77777777" w:rsidR="00E65594" w:rsidRDefault="00E65594" w:rsidP="00DE5D01">
            <w:pPr>
              <w:widowControl w:val="0"/>
              <w:jc w:val="center"/>
              <w:rPr>
                <w:sz w:val="16"/>
                <w:szCs w:val="16"/>
              </w:rPr>
            </w:pPr>
            <w:r>
              <w:rPr>
                <w:sz w:val="16"/>
                <w:szCs w:val="16"/>
              </w:rPr>
              <w:t>Unit</w:t>
            </w:r>
          </w:p>
        </w:tc>
        <w:tc>
          <w:tcPr>
            <w:tcW w:w="600" w:type="dxa"/>
            <w:tcBorders>
              <w:top w:val="nil"/>
              <w:left w:val="nil"/>
              <w:bottom w:val="nil"/>
              <w:right w:val="nil"/>
            </w:tcBorders>
            <w:tcMar>
              <w:top w:w="40" w:type="dxa"/>
              <w:left w:w="40" w:type="dxa"/>
              <w:bottom w:w="40" w:type="dxa"/>
              <w:right w:w="40" w:type="dxa"/>
            </w:tcMar>
            <w:vAlign w:val="center"/>
          </w:tcPr>
          <w:p w14:paraId="51DAD260" w14:textId="77777777" w:rsidR="00E65594" w:rsidRDefault="00E65594" w:rsidP="00DE5D01">
            <w:pPr>
              <w:widowControl w:val="0"/>
              <w:jc w:val="center"/>
              <w:rPr>
                <w:sz w:val="16"/>
                <w:szCs w:val="16"/>
              </w:rPr>
            </w:pPr>
            <w:r>
              <w:rPr>
                <w:sz w:val="16"/>
                <w:szCs w:val="16"/>
              </w:rPr>
              <w:t>Lat.</w:t>
            </w:r>
          </w:p>
          <w:p w14:paraId="52C58391" w14:textId="77777777" w:rsidR="00E65594" w:rsidRDefault="00E65594" w:rsidP="00DE5D01">
            <w:pPr>
              <w:widowControl w:val="0"/>
              <w:jc w:val="center"/>
              <w:rPr>
                <w:sz w:val="16"/>
                <w:szCs w:val="16"/>
              </w:rPr>
            </w:pPr>
            <w:r>
              <w:rPr>
                <w:sz w:val="16"/>
                <w:szCs w:val="16"/>
              </w:rPr>
              <w:t>(°)</w:t>
            </w:r>
          </w:p>
        </w:tc>
        <w:tc>
          <w:tcPr>
            <w:tcW w:w="645" w:type="dxa"/>
            <w:tcBorders>
              <w:top w:val="nil"/>
              <w:left w:val="nil"/>
              <w:bottom w:val="nil"/>
              <w:right w:val="nil"/>
            </w:tcBorders>
            <w:tcMar>
              <w:top w:w="40" w:type="dxa"/>
              <w:left w:w="40" w:type="dxa"/>
              <w:bottom w:w="40" w:type="dxa"/>
              <w:right w:w="40" w:type="dxa"/>
            </w:tcMar>
            <w:vAlign w:val="center"/>
          </w:tcPr>
          <w:p w14:paraId="7E553195" w14:textId="77777777" w:rsidR="00E65594" w:rsidRDefault="00E65594" w:rsidP="00DE5D01">
            <w:pPr>
              <w:widowControl w:val="0"/>
              <w:jc w:val="center"/>
              <w:rPr>
                <w:sz w:val="16"/>
                <w:szCs w:val="16"/>
              </w:rPr>
            </w:pPr>
            <w:r>
              <w:rPr>
                <w:sz w:val="16"/>
                <w:szCs w:val="16"/>
              </w:rPr>
              <w:t>Lon.</w:t>
            </w:r>
          </w:p>
          <w:p w14:paraId="255C0E27" w14:textId="77777777" w:rsidR="00E65594" w:rsidRDefault="00E65594" w:rsidP="00DE5D01">
            <w:pPr>
              <w:widowControl w:val="0"/>
              <w:jc w:val="center"/>
              <w:rPr>
                <w:sz w:val="16"/>
                <w:szCs w:val="16"/>
              </w:rPr>
            </w:pPr>
            <w:r>
              <w:rPr>
                <w:sz w:val="16"/>
                <w:szCs w:val="16"/>
              </w:rPr>
              <w:t>(°)</w:t>
            </w:r>
          </w:p>
        </w:tc>
        <w:tc>
          <w:tcPr>
            <w:tcW w:w="1035" w:type="dxa"/>
            <w:tcBorders>
              <w:top w:val="nil"/>
              <w:left w:val="nil"/>
              <w:bottom w:val="nil"/>
              <w:right w:val="nil"/>
            </w:tcBorders>
            <w:tcMar>
              <w:top w:w="40" w:type="dxa"/>
              <w:left w:w="40" w:type="dxa"/>
              <w:bottom w:w="40" w:type="dxa"/>
              <w:right w:w="40" w:type="dxa"/>
            </w:tcMar>
            <w:vAlign w:val="center"/>
          </w:tcPr>
          <w:p w14:paraId="5797ACBB" w14:textId="77777777" w:rsidR="00E65594" w:rsidRDefault="00E65594" w:rsidP="00DE5D01">
            <w:pPr>
              <w:widowControl w:val="0"/>
              <w:jc w:val="center"/>
              <w:rPr>
                <w:sz w:val="16"/>
                <w:szCs w:val="16"/>
              </w:rPr>
            </w:pPr>
            <w:r>
              <w:rPr>
                <w:sz w:val="16"/>
                <w:szCs w:val="16"/>
              </w:rPr>
              <w:t>Sample Material</w:t>
            </w:r>
            <w:r>
              <w:rPr>
                <w:sz w:val="16"/>
                <w:szCs w:val="16"/>
                <w:vertAlign w:val="superscript"/>
              </w:rPr>
              <w:t>1</w:t>
            </w:r>
          </w:p>
        </w:tc>
        <w:tc>
          <w:tcPr>
            <w:tcW w:w="1005" w:type="dxa"/>
            <w:tcBorders>
              <w:top w:val="nil"/>
              <w:left w:val="nil"/>
              <w:bottom w:val="nil"/>
              <w:right w:val="nil"/>
            </w:tcBorders>
            <w:tcMar>
              <w:top w:w="40" w:type="dxa"/>
              <w:left w:w="40" w:type="dxa"/>
              <w:bottom w:w="40" w:type="dxa"/>
              <w:right w:w="40" w:type="dxa"/>
            </w:tcMar>
            <w:vAlign w:val="center"/>
          </w:tcPr>
          <w:p w14:paraId="70CA7578" w14:textId="77777777" w:rsidR="00E65594" w:rsidRDefault="00E65594" w:rsidP="00DE5D01">
            <w:pPr>
              <w:widowControl w:val="0"/>
              <w:jc w:val="center"/>
              <w:rPr>
                <w:sz w:val="16"/>
                <w:szCs w:val="16"/>
              </w:rPr>
            </w:pPr>
            <w:r>
              <w:rPr>
                <w:sz w:val="16"/>
                <w:szCs w:val="16"/>
              </w:rPr>
              <w:t>Radiocarbon Age (BP)</w:t>
            </w:r>
          </w:p>
        </w:tc>
        <w:tc>
          <w:tcPr>
            <w:tcW w:w="1575" w:type="dxa"/>
            <w:tcBorders>
              <w:top w:val="nil"/>
              <w:left w:val="nil"/>
              <w:bottom w:val="nil"/>
              <w:right w:val="nil"/>
            </w:tcBorders>
            <w:tcMar>
              <w:top w:w="40" w:type="dxa"/>
              <w:left w:w="40" w:type="dxa"/>
              <w:bottom w:w="40" w:type="dxa"/>
              <w:right w:w="40" w:type="dxa"/>
            </w:tcMar>
            <w:vAlign w:val="center"/>
          </w:tcPr>
          <w:p w14:paraId="2209803F" w14:textId="77777777" w:rsidR="00E65594" w:rsidRDefault="00E65594" w:rsidP="00DE5D01">
            <w:pPr>
              <w:widowControl w:val="0"/>
              <w:jc w:val="center"/>
              <w:rPr>
                <w:sz w:val="16"/>
                <w:szCs w:val="16"/>
              </w:rPr>
            </w:pPr>
            <w:r>
              <w:rPr>
                <w:sz w:val="16"/>
                <w:szCs w:val="16"/>
              </w:rPr>
              <w:t>Calibrated</w:t>
            </w:r>
            <w:r>
              <w:rPr>
                <w:sz w:val="16"/>
                <w:szCs w:val="16"/>
                <w:vertAlign w:val="superscript"/>
              </w:rPr>
              <w:t>2</w:t>
            </w:r>
            <w:r>
              <w:rPr>
                <w:sz w:val="16"/>
                <w:szCs w:val="16"/>
              </w:rPr>
              <w:t xml:space="preserve"> Age (AD)</w:t>
            </w:r>
          </w:p>
        </w:tc>
        <w:tc>
          <w:tcPr>
            <w:tcW w:w="1095" w:type="dxa"/>
            <w:tcBorders>
              <w:top w:val="nil"/>
              <w:left w:val="nil"/>
              <w:bottom w:val="nil"/>
              <w:right w:val="nil"/>
            </w:tcBorders>
            <w:tcMar>
              <w:top w:w="40" w:type="dxa"/>
              <w:left w:w="40" w:type="dxa"/>
              <w:bottom w:w="40" w:type="dxa"/>
              <w:right w:w="40" w:type="dxa"/>
            </w:tcMar>
            <w:vAlign w:val="center"/>
          </w:tcPr>
          <w:p w14:paraId="6189A9E8" w14:textId="77777777" w:rsidR="00E65594" w:rsidRDefault="00E65594" w:rsidP="00DE5D01">
            <w:pPr>
              <w:widowControl w:val="0"/>
              <w:jc w:val="center"/>
              <w:rPr>
                <w:sz w:val="16"/>
                <w:szCs w:val="16"/>
              </w:rPr>
            </w:pPr>
            <w:r>
              <w:rPr>
                <w:sz w:val="16"/>
                <w:szCs w:val="16"/>
              </w:rPr>
              <w:t>OxCal</w:t>
            </w:r>
            <w:r>
              <w:rPr>
                <w:sz w:val="16"/>
                <w:szCs w:val="16"/>
                <w:vertAlign w:val="superscript"/>
              </w:rPr>
              <w:t>2</w:t>
            </w:r>
            <w:r>
              <w:rPr>
                <w:sz w:val="16"/>
                <w:szCs w:val="16"/>
              </w:rPr>
              <w:t xml:space="preserve"> v4.4 Modeled Age (AD, 95.4%)</w:t>
            </w:r>
          </w:p>
        </w:tc>
        <w:tc>
          <w:tcPr>
            <w:tcW w:w="1215" w:type="dxa"/>
            <w:tcBorders>
              <w:top w:val="nil"/>
              <w:left w:val="nil"/>
              <w:bottom w:val="nil"/>
              <w:right w:val="nil"/>
            </w:tcBorders>
            <w:tcMar>
              <w:top w:w="40" w:type="dxa"/>
              <w:left w:w="40" w:type="dxa"/>
              <w:bottom w:w="40" w:type="dxa"/>
              <w:right w:w="40" w:type="dxa"/>
            </w:tcMar>
            <w:vAlign w:val="center"/>
          </w:tcPr>
          <w:p w14:paraId="79480BE2" w14:textId="77777777" w:rsidR="00E65594" w:rsidRDefault="00E65594" w:rsidP="00DE5D01">
            <w:pPr>
              <w:widowControl w:val="0"/>
              <w:jc w:val="center"/>
              <w:rPr>
                <w:sz w:val="16"/>
                <w:szCs w:val="16"/>
              </w:rPr>
            </w:pPr>
            <w:r>
              <w:rPr>
                <w:sz w:val="16"/>
                <w:szCs w:val="16"/>
              </w:rPr>
              <w:t>Percent Modern Carbon (</w:t>
            </w:r>
            <w:proofErr w:type="spellStart"/>
            <w:r>
              <w:rPr>
                <w:sz w:val="16"/>
                <w:szCs w:val="16"/>
              </w:rPr>
              <w:t>pMC</w:t>
            </w:r>
            <w:proofErr w:type="spellEnd"/>
            <w:r>
              <w:rPr>
                <w:sz w:val="16"/>
                <w:szCs w:val="16"/>
              </w:rPr>
              <w:t>)</w:t>
            </w:r>
          </w:p>
        </w:tc>
        <w:tc>
          <w:tcPr>
            <w:tcW w:w="645" w:type="dxa"/>
            <w:tcBorders>
              <w:top w:val="nil"/>
              <w:left w:val="nil"/>
              <w:bottom w:val="nil"/>
              <w:right w:val="nil"/>
            </w:tcBorders>
            <w:tcMar>
              <w:top w:w="40" w:type="dxa"/>
              <w:left w:w="40" w:type="dxa"/>
              <w:bottom w:w="40" w:type="dxa"/>
              <w:right w:w="40" w:type="dxa"/>
            </w:tcMar>
            <w:vAlign w:val="center"/>
          </w:tcPr>
          <w:p w14:paraId="5BFCDECD" w14:textId="77777777" w:rsidR="00E65594" w:rsidRDefault="00E65594" w:rsidP="00DE5D01">
            <w:pPr>
              <w:widowControl w:val="0"/>
              <w:jc w:val="center"/>
              <w:rPr>
                <w:sz w:val="16"/>
                <w:szCs w:val="16"/>
              </w:rPr>
            </w:pPr>
            <w:r>
              <w:rPr>
                <w:sz w:val="16"/>
                <w:szCs w:val="16"/>
              </w:rPr>
              <w:t>δ13C (‰)</w:t>
            </w:r>
          </w:p>
        </w:tc>
        <w:tc>
          <w:tcPr>
            <w:tcW w:w="555" w:type="dxa"/>
            <w:tcBorders>
              <w:top w:val="nil"/>
              <w:left w:val="nil"/>
              <w:bottom w:val="nil"/>
              <w:right w:val="nil"/>
            </w:tcBorders>
            <w:tcMar>
              <w:top w:w="40" w:type="dxa"/>
              <w:left w:w="40" w:type="dxa"/>
              <w:bottom w:w="40" w:type="dxa"/>
              <w:right w:w="40" w:type="dxa"/>
            </w:tcMar>
            <w:vAlign w:val="center"/>
          </w:tcPr>
          <w:p w14:paraId="0EFC4880" w14:textId="77777777" w:rsidR="00E65594" w:rsidRDefault="00E65594" w:rsidP="00DE5D01">
            <w:pPr>
              <w:widowControl w:val="0"/>
              <w:jc w:val="center"/>
              <w:rPr>
                <w:sz w:val="16"/>
                <w:szCs w:val="16"/>
              </w:rPr>
            </w:pPr>
            <w:r>
              <w:rPr>
                <w:sz w:val="16"/>
                <w:szCs w:val="16"/>
              </w:rPr>
              <w:t>δ18O</w:t>
            </w:r>
          </w:p>
          <w:p w14:paraId="7F760ACC" w14:textId="77777777" w:rsidR="00E65594" w:rsidRDefault="00E65594" w:rsidP="00DE5D01">
            <w:pPr>
              <w:widowControl w:val="0"/>
              <w:jc w:val="center"/>
              <w:rPr>
                <w:sz w:val="16"/>
                <w:szCs w:val="16"/>
              </w:rPr>
            </w:pPr>
            <w:r>
              <w:rPr>
                <w:sz w:val="16"/>
                <w:szCs w:val="16"/>
              </w:rPr>
              <w:t>(‰)</w:t>
            </w:r>
          </w:p>
        </w:tc>
      </w:tr>
      <w:tr w:rsidR="00E65594" w14:paraId="672B45FE" w14:textId="77777777" w:rsidTr="00DE5D01">
        <w:trPr>
          <w:trHeight w:val="315"/>
        </w:trPr>
        <w:tc>
          <w:tcPr>
            <w:tcW w:w="645" w:type="dxa"/>
            <w:tcBorders>
              <w:top w:val="nil"/>
              <w:left w:val="nil"/>
              <w:bottom w:val="nil"/>
              <w:right w:val="nil"/>
            </w:tcBorders>
            <w:tcMar>
              <w:top w:w="40" w:type="dxa"/>
              <w:left w:w="40" w:type="dxa"/>
              <w:bottom w:w="40" w:type="dxa"/>
              <w:right w:w="40" w:type="dxa"/>
            </w:tcMar>
            <w:vAlign w:val="center"/>
          </w:tcPr>
          <w:p w14:paraId="1F6C810A" w14:textId="77777777" w:rsidR="00E65594" w:rsidRDefault="00E65594" w:rsidP="00DE5D01">
            <w:pPr>
              <w:widowControl w:val="0"/>
              <w:jc w:val="center"/>
              <w:rPr>
                <w:sz w:val="16"/>
                <w:szCs w:val="16"/>
              </w:rPr>
            </w:pPr>
            <w:r>
              <w:rPr>
                <w:sz w:val="16"/>
                <w:szCs w:val="16"/>
              </w:rPr>
              <w:t>R1</w:t>
            </w:r>
          </w:p>
        </w:tc>
        <w:tc>
          <w:tcPr>
            <w:tcW w:w="705" w:type="dxa"/>
            <w:tcBorders>
              <w:top w:val="nil"/>
              <w:left w:val="nil"/>
              <w:bottom w:val="nil"/>
              <w:right w:val="nil"/>
            </w:tcBorders>
            <w:tcMar>
              <w:top w:w="40" w:type="dxa"/>
              <w:left w:w="40" w:type="dxa"/>
              <w:bottom w:w="40" w:type="dxa"/>
              <w:right w:w="40" w:type="dxa"/>
            </w:tcMar>
            <w:vAlign w:val="center"/>
          </w:tcPr>
          <w:p w14:paraId="209F0FA9" w14:textId="77777777" w:rsidR="00E65594" w:rsidRDefault="00E65594" w:rsidP="00DE5D01">
            <w:pPr>
              <w:widowControl w:val="0"/>
              <w:jc w:val="center"/>
              <w:rPr>
                <w:sz w:val="16"/>
                <w:szCs w:val="16"/>
              </w:rPr>
            </w:pPr>
            <w:proofErr w:type="spellStart"/>
            <w:r>
              <w:rPr>
                <w:sz w:val="16"/>
                <w:szCs w:val="16"/>
              </w:rPr>
              <w:t>Agsu</w:t>
            </w:r>
            <w:proofErr w:type="spellEnd"/>
            <w:r>
              <w:rPr>
                <w:sz w:val="16"/>
                <w:szCs w:val="16"/>
              </w:rPr>
              <w:t xml:space="preserve"> T1</w:t>
            </w:r>
          </w:p>
        </w:tc>
        <w:tc>
          <w:tcPr>
            <w:tcW w:w="375" w:type="dxa"/>
            <w:tcBorders>
              <w:top w:val="nil"/>
              <w:left w:val="nil"/>
              <w:bottom w:val="nil"/>
              <w:right w:val="nil"/>
            </w:tcBorders>
            <w:tcMar>
              <w:top w:w="40" w:type="dxa"/>
              <w:left w:w="40" w:type="dxa"/>
              <w:bottom w:w="40" w:type="dxa"/>
              <w:right w:w="40" w:type="dxa"/>
            </w:tcMar>
            <w:vAlign w:val="center"/>
          </w:tcPr>
          <w:p w14:paraId="1128949F" w14:textId="77777777" w:rsidR="00E65594" w:rsidRDefault="00E65594" w:rsidP="00DE5D01">
            <w:pPr>
              <w:widowControl w:val="0"/>
              <w:jc w:val="center"/>
              <w:rPr>
                <w:sz w:val="16"/>
                <w:szCs w:val="16"/>
              </w:rPr>
            </w:pPr>
            <w:r>
              <w:rPr>
                <w:sz w:val="16"/>
                <w:szCs w:val="16"/>
              </w:rPr>
              <w:t>U4</w:t>
            </w:r>
          </w:p>
        </w:tc>
        <w:tc>
          <w:tcPr>
            <w:tcW w:w="600" w:type="dxa"/>
            <w:tcBorders>
              <w:top w:val="nil"/>
              <w:left w:val="nil"/>
              <w:bottom w:val="nil"/>
              <w:right w:val="nil"/>
            </w:tcBorders>
            <w:tcMar>
              <w:top w:w="40" w:type="dxa"/>
              <w:left w:w="40" w:type="dxa"/>
              <w:bottom w:w="40" w:type="dxa"/>
              <w:right w:w="40" w:type="dxa"/>
            </w:tcMar>
            <w:vAlign w:val="center"/>
          </w:tcPr>
          <w:p w14:paraId="5CDA6383" w14:textId="77777777" w:rsidR="00E65594" w:rsidRDefault="00E65594" w:rsidP="00DE5D01">
            <w:pPr>
              <w:widowControl w:val="0"/>
              <w:jc w:val="center"/>
              <w:rPr>
                <w:sz w:val="16"/>
                <w:szCs w:val="16"/>
              </w:rPr>
            </w:pPr>
            <w:r>
              <w:rPr>
                <w:sz w:val="16"/>
                <w:szCs w:val="16"/>
              </w:rPr>
              <w:t>40.572</w:t>
            </w:r>
          </w:p>
        </w:tc>
        <w:tc>
          <w:tcPr>
            <w:tcW w:w="645" w:type="dxa"/>
            <w:tcBorders>
              <w:top w:val="nil"/>
              <w:left w:val="nil"/>
              <w:bottom w:val="nil"/>
              <w:right w:val="nil"/>
            </w:tcBorders>
            <w:shd w:val="clear" w:color="auto" w:fill="FFFFFF"/>
            <w:tcMar>
              <w:top w:w="40" w:type="dxa"/>
              <w:left w:w="40" w:type="dxa"/>
              <w:bottom w:w="40" w:type="dxa"/>
              <w:right w:w="40" w:type="dxa"/>
            </w:tcMar>
            <w:vAlign w:val="center"/>
          </w:tcPr>
          <w:p w14:paraId="41288AEE" w14:textId="77777777" w:rsidR="00E65594" w:rsidRDefault="00E65594" w:rsidP="00DE5D01">
            <w:pPr>
              <w:widowControl w:val="0"/>
              <w:jc w:val="center"/>
              <w:rPr>
                <w:sz w:val="16"/>
                <w:szCs w:val="16"/>
              </w:rPr>
            </w:pPr>
            <w:r>
              <w:rPr>
                <w:rFonts w:ascii="Roboto" w:eastAsia="Roboto" w:hAnsi="Roboto" w:cs="Roboto"/>
                <w:sz w:val="16"/>
                <w:szCs w:val="16"/>
              </w:rPr>
              <w:t>48.427</w:t>
            </w:r>
          </w:p>
        </w:tc>
        <w:tc>
          <w:tcPr>
            <w:tcW w:w="1035" w:type="dxa"/>
            <w:tcBorders>
              <w:top w:val="nil"/>
              <w:left w:val="nil"/>
              <w:bottom w:val="nil"/>
              <w:right w:val="nil"/>
            </w:tcBorders>
            <w:tcMar>
              <w:top w:w="40" w:type="dxa"/>
              <w:left w:w="40" w:type="dxa"/>
              <w:bottom w:w="40" w:type="dxa"/>
              <w:right w:w="40" w:type="dxa"/>
            </w:tcMar>
            <w:vAlign w:val="center"/>
          </w:tcPr>
          <w:p w14:paraId="4B66AD58" w14:textId="77777777" w:rsidR="00E65594" w:rsidRDefault="00E65594" w:rsidP="00DE5D01">
            <w:pPr>
              <w:widowControl w:val="0"/>
              <w:jc w:val="center"/>
              <w:rPr>
                <w:sz w:val="16"/>
                <w:szCs w:val="16"/>
              </w:rPr>
            </w:pPr>
            <w:r>
              <w:rPr>
                <w:sz w:val="16"/>
                <w:szCs w:val="16"/>
              </w:rPr>
              <w:t>Charcoal</w:t>
            </w:r>
          </w:p>
        </w:tc>
        <w:tc>
          <w:tcPr>
            <w:tcW w:w="1005" w:type="dxa"/>
            <w:tcBorders>
              <w:top w:val="nil"/>
              <w:left w:val="nil"/>
              <w:bottom w:val="nil"/>
              <w:right w:val="nil"/>
            </w:tcBorders>
            <w:tcMar>
              <w:top w:w="40" w:type="dxa"/>
              <w:left w:w="40" w:type="dxa"/>
              <w:bottom w:w="40" w:type="dxa"/>
              <w:right w:w="40" w:type="dxa"/>
            </w:tcMar>
            <w:vAlign w:val="center"/>
          </w:tcPr>
          <w:p w14:paraId="3D14DD7D" w14:textId="77777777" w:rsidR="00E65594" w:rsidRDefault="00E65594" w:rsidP="00DE5D01">
            <w:pPr>
              <w:widowControl w:val="0"/>
              <w:jc w:val="center"/>
              <w:rPr>
                <w:sz w:val="16"/>
                <w:szCs w:val="16"/>
              </w:rPr>
            </w:pPr>
            <w:r>
              <w:rPr>
                <w:sz w:val="16"/>
                <w:szCs w:val="16"/>
              </w:rPr>
              <w:t>-20 ± 30</w:t>
            </w:r>
          </w:p>
        </w:tc>
        <w:tc>
          <w:tcPr>
            <w:tcW w:w="1575" w:type="dxa"/>
            <w:tcBorders>
              <w:top w:val="nil"/>
              <w:left w:val="nil"/>
              <w:bottom w:val="nil"/>
              <w:right w:val="nil"/>
            </w:tcBorders>
            <w:tcMar>
              <w:top w:w="40" w:type="dxa"/>
              <w:left w:w="40" w:type="dxa"/>
              <w:bottom w:w="40" w:type="dxa"/>
              <w:right w:w="40" w:type="dxa"/>
            </w:tcMar>
            <w:vAlign w:val="center"/>
          </w:tcPr>
          <w:p w14:paraId="6481DA0D" w14:textId="77777777" w:rsidR="00E65594" w:rsidRDefault="00E65594" w:rsidP="00DE5D01">
            <w:pPr>
              <w:widowControl w:val="0"/>
              <w:jc w:val="center"/>
              <w:rPr>
                <w:sz w:val="16"/>
                <w:szCs w:val="16"/>
              </w:rPr>
            </w:pPr>
            <w:r>
              <w:rPr>
                <w:sz w:val="16"/>
                <w:szCs w:val="16"/>
              </w:rPr>
              <w:t>1954-1957 (60.9%)</w:t>
            </w:r>
          </w:p>
          <w:p w14:paraId="6497162A" w14:textId="77777777" w:rsidR="00E65594" w:rsidRDefault="00E65594" w:rsidP="00DE5D01">
            <w:pPr>
              <w:widowControl w:val="0"/>
              <w:jc w:val="center"/>
              <w:rPr>
                <w:sz w:val="16"/>
                <w:szCs w:val="16"/>
              </w:rPr>
            </w:pPr>
            <w:r>
              <w:rPr>
                <w:sz w:val="16"/>
                <w:szCs w:val="16"/>
              </w:rPr>
              <w:t>1886-1913 (31.0%)</w:t>
            </w:r>
          </w:p>
          <w:p w14:paraId="133A2340" w14:textId="77777777" w:rsidR="00E65594" w:rsidRDefault="00E65594" w:rsidP="00DE5D01">
            <w:pPr>
              <w:widowControl w:val="0"/>
              <w:jc w:val="center"/>
              <w:rPr>
                <w:sz w:val="16"/>
                <w:szCs w:val="16"/>
              </w:rPr>
            </w:pPr>
            <w:r>
              <w:rPr>
                <w:sz w:val="16"/>
                <w:szCs w:val="16"/>
              </w:rPr>
              <w:t>1707-1718 (2.4%)</w:t>
            </w:r>
          </w:p>
          <w:p w14:paraId="3867077F" w14:textId="77777777" w:rsidR="00E65594" w:rsidRDefault="00E65594" w:rsidP="00DE5D01">
            <w:pPr>
              <w:widowControl w:val="0"/>
              <w:jc w:val="center"/>
              <w:rPr>
                <w:sz w:val="16"/>
                <w:szCs w:val="16"/>
              </w:rPr>
            </w:pPr>
            <w:r>
              <w:rPr>
                <w:sz w:val="16"/>
                <w:szCs w:val="16"/>
              </w:rPr>
              <w:t>1825-1832 (1.2%)</w:t>
            </w:r>
          </w:p>
        </w:tc>
        <w:tc>
          <w:tcPr>
            <w:tcW w:w="1095" w:type="dxa"/>
            <w:tcBorders>
              <w:top w:val="nil"/>
              <w:left w:val="nil"/>
              <w:bottom w:val="nil"/>
              <w:right w:val="nil"/>
            </w:tcBorders>
            <w:tcMar>
              <w:top w:w="40" w:type="dxa"/>
              <w:left w:w="40" w:type="dxa"/>
              <w:bottom w:w="40" w:type="dxa"/>
              <w:right w:w="40" w:type="dxa"/>
            </w:tcMar>
            <w:vAlign w:val="center"/>
          </w:tcPr>
          <w:p w14:paraId="63976448" w14:textId="77777777" w:rsidR="00E65594" w:rsidRDefault="00E65594" w:rsidP="00DE5D01">
            <w:pPr>
              <w:widowControl w:val="0"/>
              <w:jc w:val="center"/>
              <w:rPr>
                <w:sz w:val="16"/>
                <w:szCs w:val="16"/>
              </w:rPr>
            </w:pPr>
            <w:r>
              <w:rPr>
                <w:sz w:val="16"/>
                <w:szCs w:val="16"/>
              </w:rPr>
              <w:t>1811-1917</w:t>
            </w:r>
          </w:p>
        </w:tc>
        <w:tc>
          <w:tcPr>
            <w:tcW w:w="1215" w:type="dxa"/>
            <w:tcBorders>
              <w:top w:val="nil"/>
              <w:left w:val="nil"/>
              <w:bottom w:val="nil"/>
              <w:right w:val="nil"/>
            </w:tcBorders>
            <w:tcMar>
              <w:top w:w="40" w:type="dxa"/>
              <w:left w:w="40" w:type="dxa"/>
              <w:bottom w:w="40" w:type="dxa"/>
              <w:right w:w="40" w:type="dxa"/>
            </w:tcMar>
            <w:vAlign w:val="center"/>
          </w:tcPr>
          <w:p w14:paraId="41EF137F" w14:textId="77777777" w:rsidR="00E65594" w:rsidRDefault="00E65594" w:rsidP="00DE5D01">
            <w:pPr>
              <w:widowControl w:val="0"/>
              <w:jc w:val="center"/>
              <w:rPr>
                <w:sz w:val="16"/>
                <w:szCs w:val="16"/>
              </w:rPr>
            </w:pPr>
            <w:r>
              <w:rPr>
                <w:sz w:val="16"/>
                <w:szCs w:val="16"/>
              </w:rPr>
              <w:t>100.25 ± 0.37</w:t>
            </w:r>
          </w:p>
        </w:tc>
        <w:tc>
          <w:tcPr>
            <w:tcW w:w="645" w:type="dxa"/>
            <w:tcBorders>
              <w:top w:val="nil"/>
              <w:left w:val="nil"/>
              <w:bottom w:val="nil"/>
              <w:right w:val="nil"/>
            </w:tcBorders>
            <w:tcMar>
              <w:top w:w="40" w:type="dxa"/>
              <w:left w:w="40" w:type="dxa"/>
              <w:bottom w:w="40" w:type="dxa"/>
              <w:right w:w="40" w:type="dxa"/>
            </w:tcMar>
            <w:vAlign w:val="center"/>
          </w:tcPr>
          <w:p w14:paraId="0BCBB3D9" w14:textId="77777777" w:rsidR="00E65594" w:rsidRDefault="00E65594" w:rsidP="00DE5D01">
            <w:pPr>
              <w:widowControl w:val="0"/>
              <w:jc w:val="center"/>
              <w:rPr>
                <w:sz w:val="16"/>
                <w:szCs w:val="16"/>
              </w:rPr>
            </w:pPr>
            <w:r>
              <w:rPr>
                <w:sz w:val="16"/>
                <w:szCs w:val="16"/>
              </w:rPr>
              <w:t>-27.0</w:t>
            </w:r>
          </w:p>
        </w:tc>
        <w:tc>
          <w:tcPr>
            <w:tcW w:w="555" w:type="dxa"/>
            <w:tcBorders>
              <w:top w:val="nil"/>
              <w:left w:val="nil"/>
              <w:bottom w:val="nil"/>
              <w:right w:val="nil"/>
            </w:tcBorders>
            <w:tcMar>
              <w:top w:w="40" w:type="dxa"/>
              <w:left w:w="40" w:type="dxa"/>
              <w:bottom w:w="40" w:type="dxa"/>
              <w:right w:w="40" w:type="dxa"/>
            </w:tcMar>
            <w:vAlign w:val="center"/>
          </w:tcPr>
          <w:p w14:paraId="20BF54F7" w14:textId="77777777" w:rsidR="00E65594" w:rsidRDefault="00E65594" w:rsidP="00DE5D01">
            <w:pPr>
              <w:widowControl w:val="0"/>
              <w:jc w:val="center"/>
              <w:rPr>
                <w:sz w:val="16"/>
                <w:szCs w:val="16"/>
              </w:rPr>
            </w:pPr>
            <w:r>
              <w:rPr>
                <w:sz w:val="16"/>
                <w:szCs w:val="16"/>
              </w:rPr>
              <w:t>-</w:t>
            </w:r>
          </w:p>
        </w:tc>
      </w:tr>
      <w:tr w:rsidR="00E65594" w14:paraId="72AB228A" w14:textId="77777777" w:rsidTr="00DE5D01">
        <w:trPr>
          <w:trHeight w:val="315"/>
        </w:trPr>
        <w:tc>
          <w:tcPr>
            <w:tcW w:w="645" w:type="dxa"/>
            <w:tcBorders>
              <w:top w:val="nil"/>
              <w:left w:val="nil"/>
              <w:bottom w:val="nil"/>
              <w:right w:val="nil"/>
            </w:tcBorders>
            <w:tcMar>
              <w:top w:w="40" w:type="dxa"/>
              <w:left w:w="40" w:type="dxa"/>
              <w:bottom w:w="40" w:type="dxa"/>
              <w:right w:w="40" w:type="dxa"/>
            </w:tcMar>
            <w:vAlign w:val="center"/>
          </w:tcPr>
          <w:p w14:paraId="02291F4F" w14:textId="77777777" w:rsidR="00E65594" w:rsidRDefault="00E65594" w:rsidP="00DE5D01">
            <w:pPr>
              <w:widowControl w:val="0"/>
              <w:jc w:val="center"/>
              <w:rPr>
                <w:sz w:val="16"/>
                <w:szCs w:val="16"/>
              </w:rPr>
            </w:pPr>
            <w:r>
              <w:rPr>
                <w:sz w:val="16"/>
                <w:szCs w:val="16"/>
              </w:rPr>
              <w:t>R5</w:t>
            </w:r>
          </w:p>
        </w:tc>
        <w:tc>
          <w:tcPr>
            <w:tcW w:w="705" w:type="dxa"/>
            <w:tcBorders>
              <w:top w:val="nil"/>
              <w:left w:val="nil"/>
              <w:bottom w:val="nil"/>
              <w:right w:val="nil"/>
            </w:tcBorders>
            <w:tcMar>
              <w:top w:w="40" w:type="dxa"/>
              <w:left w:w="40" w:type="dxa"/>
              <w:bottom w:w="40" w:type="dxa"/>
              <w:right w:w="40" w:type="dxa"/>
            </w:tcMar>
            <w:vAlign w:val="center"/>
          </w:tcPr>
          <w:p w14:paraId="7EA2BABD" w14:textId="77777777" w:rsidR="00E65594" w:rsidRDefault="00E65594" w:rsidP="00DE5D01">
            <w:pPr>
              <w:widowControl w:val="0"/>
              <w:jc w:val="center"/>
              <w:rPr>
                <w:sz w:val="16"/>
                <w:szCs w:val="16"/>
              </w:rPr>
            </w:pPr>
            <w:proofErr w:type="spellStart"/>
            <w:r>
              <w:rPr>
                <w:sz w:val="16"/>
                <w:szCs w:val="16"/>
              </w:rPr>
              <w:t>Agsu</w:t>
            </w:r>
            <w:proofErr w:type="spellEnd"/>
            <w:r>
              <w:rPr>
                <w:sz w:val="16"/>
                <w:szCs w:val="16"/>
              </w:rPr>
              <w:t xml:space="preserve"> T1</w:t>
            </w:r>
          </w:p>
        </w:tc>
        <w:tc>
          <w:tcPr>
            <w:tcW w:w="375" w:type="dxa"/>
            <w:tcBorders>
              <w:top w:val="nil"/>
              <w:left w:val="nil"/>
              <w:bottom w:val="nil"/>
              <w:right w:val="nil"/>
            </w:tcBorders>
            <w:tcMar>
              <w:top w:w="40" w:type="dxa"/>
              <w:left w:w="40" w:type="dxa"/>
              <w:bottom w:w="40" w:type="dxa"/>
              <w:right w:w="40" w:type="dxa"/>
            </w:tcMar>
            <w:vAlign w:val="center"/>
          </w:tcPr>
          <w:p w14:paraId="43E2E8D6" w14:textId="77777777" w:rsidR="00E65594" w:rsidRDefault="00E65594" w:rsidP="00DE5D01">
            <w:pPr>
              <w:widowControl w:val="0"/>
              <w:jc w:val="center"/>
              <w:rPr>
                <w:sz w:val="16"/>
                <w:szCs w:val="16"/>
              </w:rPr>
            </w:pPr>
            <w:r>
              <w:rPr>
                <w:sz w:val="16"/>
                <w:szCs w:val="16"/>
              </w:rPr>
              <w:t>U4</w:t>
            </w:r>
          </w:p>
        </w:tc>
        <w:tc>
          <w:tcPr>
            <w:tcW w:w="600" w:type="dxa"/>
            <w:tcBorders>
              <w:top w:val="nil"/>
              <w:left w:val="nil"/>
              <w:bottom w:val="nil"/>
              <w:right w:val="nil"/>
            </w:tcBorders>
            <w:tcMar>
              <w:top w:w="40" w:type="dxa"/>
              <w:left w:w="40" w:type="dxa"/>
              <w:bottom w:w="40" w:type="dxa"/>
              <w:right w:w="40" w:type="dxa"/>
            </w:tcMar>
            <w:vAlign w:val="center"/>
          </w:tcPr>
          <w:p w14:paraId="730B342E" w14:textId="77777777" w:rsidR="00E65594" w:rsidRDefault="00E65594" w:rsidP="00DE5D01">
            <w:pPr>
              <w:widowControl w:val="0"/>
              <w:jc w:val="center"/>
              <w:rPr>
                <w:sz w:val="16"/>
                <w:szCs w:val="16"/>
              </w:rPr>
            </w:pPr>
            <w:r>
              <w:rPr>
                <w:sz w:val="16"/>
                <w:szCs w:val="16"/>
              </w:rPr>
              <w:t>40.572</w:t>
            </w:r>
          </w:p>
        </w:tc>
        <w:tc>
          <w:tcPr>
            <w:tcW w:w="645" w:type="dxa"/>
            <w:tcBorders>
              <w:top w:val="nil"/>
              <w:left w:val="nil"/>
              <w:bottom w:val="nil"/>
              <w:right w:val="nil"/>
            </w:tcBorders>
            <w:shd w:val="clear" w:color="auto" w:fill="FFFFFF"/>
            <w:tcMar>
              <w:top w:w="40" w:type="dxa"/>
              <w:left w:w="40" w:type="dxa"/>
              <w:bottom w:w="40" w:type="dxa"/>
              <w:right w:w="40" w:type="dxa"/>
            </w:tcMar>
            <w:vAlign w:val="center"/>
          </w:tcPr>
          <w:p w14:paraId="0FDDABC5" w14:textId="77777777" w:rsidR="00E65594" w:rsidRDefault="00E65594" w:rsidP="00DE5D01">
            <w:pPr>
              <w:widowControl w:val="0"/>
              <w:jc w:val="center"/>
              <w:rPr>
                <w:sz w:val="16"/>
                <w:szCs w:val="16"/>
              </w:rPr>
            </w:pPr>
            <w:r>
              <w:rPr>
                <w:rFonts w:ascii="Roboto" w:eastAsia="Roboto" w:hAnsi="Roboto" w:cs="Roboto"/>
                <w:sz w:val="16"/>
                <w:szCs w:val="16"/>
              </w:rPr>
              <w:t>48.427</w:t>
            </w:r>
          </w:p>
        </w:tc>
        <w:tc>
          <w:tcPr>
            <w:tcW w:w="1035" w:type="dxa"/>
            <w:tcBorders>
              <w:top w:val="nil"/>
              <w:left w:val="nil"/>
              <w:bottom w:val="nil"/>
              <w:right w:val="nil"/>
            </w:tcBorders>
            <w:tcMar>
              <w:top w:w="40" w:type="dxa"/>
              <w:left w:w="40" w:type="dxa"/>
              <w:bottom w:w="40" w:type="dxa"/>
              <w:right w:w="40" w:type="dxa"/>
            </w:tcMar>
            <w:vAlign w:val="center"/>
          </w:tcPr>
          <w:p w14:paraId="46135D23" w14:textId="77777777" w:rsidR="00E65594" w:rsidRDefault="00E65594" w:rsidP="00DE5D01">
            <w:pPr>
              <w:widowControl w:val="0"/>
              <w:jc w:val="center"/>
              <w:rPr>
                <w:sz w:val="16"/>
                <w:szCs w:val="16"/>
              </w:rPr>
            </w:pPr>
            <w:r>
              <w:rPr>
                <w:sz w:val="16"/>
                <w:szCs w:val="16"/>
              </w:rPr>
              <w:t>Plant material</w:t>
            </w:r>
          </w:p>
        </w:tc>
        <w:tc>
          <w:tcPr>
            <w:tcW w:w="1005" w:type="dxa"/>
            <w:tcBorders>
              <w:top w:val="nil"/>
              <w:left w:val="nil"/>
              <w:bottom w:val="nil"/>
              <w:right w:val="nil"/>
            </w:tcBorders>
            <w:tcMar>
              <w:top w:w="40" w:type="dxa"/>
              <w:left w:w="40" w:type="dxa"/>
              <w:bottom w:w="40" w:type="dxa"/>
              <w:right w:w="40" w:type="dxa"/>
            </w:tcMar>
            <w:vAlign w:val="center"/>
          </w:tcPr>
          <w:p w14:paraId="6FE8E6DF" w14:textId="77777777" w:rsidR="00E65594" w:rsidRDefault="00E65594" w:rsidP="00DE5D01">
            <w:pPr>
              <w:widowControl w:val="0"/>
              <w:jc w:val="center"/>
              <w:rPr>
                <w:sz w:val="16"/>
                <w:szCs w:val="16"/>
              </w:rPr>
            </w:pPr>
            <w:r>
              <w:rPr>
                <w:sz w:val="16"/>
                <w:szCs w:val="16"/>
              </w:rPr>
              <w:t>-2080 ± 30</w:t>
            </w:r>
          </w:p>
        </w:tc>
        <w:tc>
          <w:tcPr>
            <w:tcW w:w="1575" w:type="dxa"/>
            <w:tcBorders>
              <w:top w:val="nil"/>
              <w:left w:val="nil"/>
              <w:bottom w:val="nil"/>
              <w:right w:val="nil"/>
            </w:tcBorders>
            <w:tcMar>
              <w:top w:w="40" w:type="dxa"/>
              <w:left w:w="40" w:type="dxa"/>
              <w:bottom w:w="40" w:type="dxa"/>
              <w:right w:w="40" w:type="dxa"/>
            </w:tcMar>
            <w:vAlign w:val="center"/>
          </w:tcPr>
          <w:p w14:paraId="54EDED13" w14:textId="77777777" w:rsidR="00E65594" w:rsidRDefault="00E65594" w:rsidP="00DE5D01">
            <w:pPr>
              <w:widowControl w:val="0"/>
              <w:jc w:val="center"/>
              <w:rPr>
                <w:sz w:val="16"/>
                <w:szCs w:val="16"/>
              </w:rPr>
            </w:pPr>
            <w:r>
              <w:rPr>
                <w:sz w:val="16"/>
                <w:szCs w:val="16"/>
              </w:rPr>
              <w:t>1978-1979 (89.3%)</w:t>
            </w:r>
          </w:p>
          <w:p w14:paraId="46ACD9AE" w14:textId="77777777" w:rsidR="00E65594" w:rsidRDefault="00E65594" w:rsidP="00DE5D01">
            <w:pPr>
              <w:widowControl w:val="0"/>
              <w:jc w:val="center"/>
              <w:rPr>
                <w:sz w:val="16"/>
                <w:szCs w:val="16"/>
              </w:rPr>
            </w:pPr>
            <w:r>
              <w:rPr>
                <w:sz w:val="16"/>
                <w:szCs w:val="16"/>
              </w:rPr>
              <w:t>1961 (6.1%)</w:t>
            </w:r>
          </w:p>
        </w:tc>
        <w:tc>
          <w:tcPr>
            <w:tcW w:w="1095" w:type="dxa"/>
            <w:tcBorders>
              <w:top w:val="nil"/>
              <w:left w:val="nil"/>
              <w:bottom w:val="nil"/>
              <w:right w:val="nil"/>
            </w:tcBorders>
            <w:tcMar>
              <w:top w:w="40" w:type="dxa"/>
              <w:left w:w="40" w:type="dxa"/>
              <w:bottom w:w="40" w:type="dxa"/>
              <w:right w:w="40" w:type="dxa"/>
            </w:tcMar>
            <w:vAlign w:val="center"/>
          </w:tcPr>
          <w:p w14:paraId="7027B1A3" w14:textId="77777777" w:rsidR="00E65594" w:rsidRDefault="00E65594" w:rsidP="00DE5D01">
            <w:pPr>
              <w:widowControl w:val="0"/>
              <w:jc w:val="center"/>
              <w:rPr>
                <w:sz w:val="16"/>
                <w:szCs w:val="16"/>
              </w:rPr>
            </w:pPr>
            <w:r>
              <w:rPr>
                <w:sz w:val="16"/>
                <w:szCs w:val="16"/>
              </w:rPr>
              <w:t>-</w:t>
            </w:r>
          </w:p>
        </w:tc>
        <w:tc>
          <w:tcPr>
            <w:tcW w:w="1215" w:type="dxa"/>
            <w:tcBorders>
              <w:top w:val="nil"/>
              <w:left w:val="nil"/>
              <w:bottom w:val="nil"/>
              <w:right w:val="nil"/>
            </w:tcBorders>
            <w:tcMar>
              <w:top w:w="40" w:type="dxa"/>
              <w:left w:w="40" w:type="dxa"/>
              <w:bottom w:w="40" w:type="dxa"/>
              <w:right w:w="40" w:type="dxa"/>
            </w:tcMar>
            <w:vAlign w:val="center"/>
          </w:tcPr>
          <w:p w14:paraId="3DD6BAB8" w14:textId="77777777" w:rsidR="00E65594" w:rsidRDefault="00E65594" w:rsidP="00DE5D01">
            <w:pPr>
              <w:widowControl w:val="0"/>
              <w:jc w:val="center"/>
              <w:rPr>
                <w:sz w:val="16"/>
                <w:szCs w:val="16"/>
              </w:rPr>
            </w:pPr>
            <w:r>
              <w:rPr>
                <w:sz w:val="16"/>
                <w:szCs w:val="16"/>
              </w:rPr>
              <w:t>129.55 ± 0.48</w:t>
            </w:r>
          </w:p>
        </w:tc>
        <w:tc>
          <w:tcPr>
            <w:tcW w:w="645" w:type="dxa"/>
            <w:tcBorders>
              <w:top w:val="nil"/>
              <w:left w:val="nil"/>
              <w:bottom w:val="nil"/>
              <w:right w:val="nil"/>
            </w:tcBorders>
            <w:tcMar>
              <w:top w:w="40" w:type="dxa"/>
              <w:left w:w="40" w:type="dxa"/>
              <w:bottom w:w="40" w:type="dxa"/>
              <w:right w:w="40" w:type="dxa"/>
            </w:tcMar>
            <w:vAlign w:val="center"/>
          </w:tcPr>
          <w:p w14:paraId="71C5EC19" w14:textId="77777777" w:rsidR="00E65594" w:rsidRDefault="00E65594" w:rsidP="00DE5D01">
            <w:pPr>
              <w:widowControl w:val="0"/>
              <w:jc w:val="center"/>
              <w:rPr>
                <w:sz w:val="16"/>
                <w:szCs w:val="16"/>
              </w:rPr>
            </w:pPr>
            <w:r>
              <w:rPr>
                <w:sz w:val="16"/>
                <w:szCs w:val="16"/>
              </w:rPr>
              <w:t>-24.8</w:t>
            </w:r>
          </w:p>
        </w:tc>
        <w:tc>
          <w:tcPr>
            <w:tcW w:w="555" w:type="dxa"/>
            <w:tcBorders>
              <w:top w:val="nil"/>
              <w:left w:val="nil"/>
              <w:bottom w:val="nil"/>
              <w:right w:val="nil"/>
            </w:tcBorders>
            <w:tcMar>
              <w:top w:w="40" w:type="dxa"/>
              <w:left w:w="40" w:type="dxa"/>
              <w:bottom w:w="40" w:type="dxa"/>
              <w:right w:w="40" w:type="dxa"/>
            </w:tcMar>
            <w:vAlign w:val="center"/>
          </w:tcPr>
          <w:p w14:paraId="50FF7151" w14:textId="77777777" w:rsidR="00E65594" w:rsidRDefault="00E65594" w:rsidP="00DE5D01">
            <w:pPr>
              <w:widowControl w:val="0"/>
              <w:jc w:val="center"/>
              <w:rPr>
                <w:sz w:val="16"/>
                <w:szCs w:val="16"/>
              </w:rPr>
            </w:pPr>
            <w:r>
              <w:rPr>
                <w:sz w:val="16"/>
                <w:szCs w:val="16"/>
              </w:rPr>
              <w:t>-</w:t>
            </w:r>
          </w:p>
        </w:tc>
      </w:tr>
      <w:tr w:rsidR="00E65594" w14:paraId="37979622" w14:textId="77777777" w:rsidTr="00DE5D01">
        <w:trPr>
          <w:trHeight w:val="315"/>
        </w:trPr>
        <w:tc>
          <w:tcPr>
            <w:tcW w:w="645" w:type="dxa"/>
            <w:tcBorders>
              <w:top w:val="nil"/>
              <w:left w:val="nil"/>
              <w:bottom w:val="nil"/>
              <w:right w:val="nil"/>
            </w:tcBorders>
            <w:tcMar>
              <w:top w:w="40" w:type="dxa"/>
              <w:left w:w="40" w:type="dxa"/>
              <w:bottom w:w="40" w:type="dxa"/>
              <w:right w:w="40" w:type="dxa"/>
            </w:tcMar>
            <w:vAlign w:val="center"/>
          </w:tcPr>
          <w:p w14:paraId="2A58FA7A" w14:textId="77777777" w:rsidR="00E65594" w:rsidRDefault="00E65594" w:rsidP="00DE5D01">
            <w:pPr>
              <w:widowControl w:val="0"/>
              <w:jc w:val="center"/>
              <w:rPr>
                <w:sz w:val="16"/>
                <w:szCs w:val="16"/>
              </w:rPr>
            </w:pPr>
            <w:r>
              <w:rPr>
                <w:sz w:val="16"/>
                <w:szCs w:val="16"/>
              </w:rPr>
              <w:t>R6</w:t>
            </w:r>
          </w:p>
        </w:tc>
        <w:tc>
          <w:tcPr>
            <w:tcW w:w="705" w:type="dxa"/>
            <w:tcBorders>
              <w:top w:val="nil"/>
              <w:left w:val="nil"/>
              <w:bottom w:val="nil"/>
              <w:right w:val="nil"/>
            </w:tcBorders>
            <w:tcMar>
              <w:top w:w="40" w:type="dxa"/>
              <w:left w:w="40" w:type="dxa"/>
              <w:bottom w:w="40" w:type="dxa"/>
              <w:right w:w="40" w:type="dxa"/>
            </w:tcMar>
            <w:vAlign w:val="center"/>
          </w:tcPr>
          <w:p w14:paraId="328DD4FE" w14:textId="77777777" w:rsidR="00E65594" w:rsidRDefault="00E65594" w:rsidP="00DE5D01">
            <w:pPr>
              <w:widowControl w:val="0"/>
              <w:jc w:val="center"/>
              <w:rPr>
                <w:sz w:val="16"/>
                <w:szCs w:val="16"/>
              </w:rPr>
            </w:pPr>
            <w:proofErr w:type="spellStart"/>
            <w:r>
              <w:rPr>
                <w:sz w:val="16"/>
                <w:szCs w:val="16"/>
              </w:rPr>
              <w:t>Agsu</w:t>
            </w:r>
            <w:proofErr w:type="spellEnd"/>
            <w:r>
              <w:rPr>
                <w:sz w:val="16"/>
                <w:szCs w:val="16"/>
              </w:rPr>
              <w:t xml:space="preserve"> T1</w:t>
            </w:r>
          </w:p>
        </w:tc>
        <w:tc>
          <w:tcPr>
            <w:tcW w:w="375" w:type="dxa"/>
            <w:tcBorders>
              <w:top w:val="nil"/>
              <w:left w:val="nil"/>
              <w:bottom w:val="nil"/>
              <w:right w:val="nil"/>
            </w:tcBorders>
            <w:tcMar>
              <w:top w:w="40" w:type="dxa"/>
              <w:left w:w="40" w:type="dxa"/>
              <w:bottom w:w="40" w:type="dxa"/>
              <w:right w:w="40" w:type="dxa"/>
            </w:tcMar>
            <w:vAlign w:val="center"/>
          </w:tcPr>
          <w:p w14:paraId="0630D05F" w14:textId="77777777" w:rsidR="00E65594" w:rsidRDefault="00E65594" w:rsidP="00DE5D01">
            <w:pPr>
              <w:widowControl w:val="0"/>
              <w:jc w:val="center"/>
              <w:rPr>
                <w:sz w:val="16"/>
                <w:szCs w:val="16"/>
              </w:rPr>
            </w:pPr>
            <w:r>
              <w:rPr>
                <w:sz w:val="16"/>
                <w:szCs w:val="16"/>
              </w:rPr>
              <w:t>U4</w:t>
            </w:r>
          </w:p>
        </w:tc>
        <w:tc>
          <w:tcPr>
            <w:tcW w:w="600" w:type="dxa"/>
            <w:tcBorders>
              <w:top w:val="nil"/>
              <w:left w:val="nil"/>
              <w:bottom w:val="nil"/>
              <w:right w:val="nil"/>
            </w:tcBorders>
            <w:tcMar>
              <w:top w:w="40" w:type="dxa"/>
              <w:left w:w="40" w:type="dxa"/>
              <w:bottom w:w="40" w:type="dxa"/>
              <w:right w:w="40" w:type="dxa"/>
            </w:tcMar>
            <w:vAlign w:val="center"/>
          </w:tcPr>
          <w:p w14:paraId="19B6738D" w14:textId="77777777" w:rsidR="00E65594" w:rsidRDefault="00E65594" w:rsidP="00DE5D01">
            <w:pPr>
              <w:widowControl w:val="0"/>
              <w:jc w:val="center"/>
              <w:rPr>
                <w:sz w:val="16"/>
                <w:szCs w:val="16"/>
              </w:rPr>
            </w:pPr>
            <w:r>
              <w:rPr>
                <w:sz w:val="16"/>
                <w:szCs w:val="16"/>
              </w:rPr>
              <w:t>40.572</w:t>
            </w:r>
          </w:p>
        </w:tc>
        <w:tc>
          <w:tcPr>
            <w:tcW w:w="645" w:type="dxa"/>
            <w:tcBorders>
              <w:top w:val="nil"/>
              <w:left w:val="nil"/>
              <w:bottom w:val="nil"/>
              <w:right w:val="nil"/>
            </w:tcBorders>
            <w:shd w:val="clear" w:color="auto" w:fill="FFFFFF"/>
            <w:tcMar>
              <w:top w:w="40" w:type="dxa"/>
              <w:left w:w="40" w:type="dxa"/>
              <w:bottom w:w="40" w:type="dxa"/>
              <w:right w:w="40" w:type="dxa"/>
            </w:tcMar>
            <w:vAlign w:val="center"/>
          </w:tcPr>
          <w:p w14:paraId="077BB40E" w14:textId="77777777" w:rsidR="00E65594" w:rsidRDefault="00E65594" w:rsidP="00DE5D01">
            <w:pPr>
              <w:widowControl w:val="0"/>
              <w:jc w:val="center"/>
              <w:rPr>
                <w:sz w:val="16"/>
                <w:szCs w:val="16"/>
              </w:rPr>
            </w:pPr>
            <w:r>
              <w:rPr>
                <w:rFonts w:ascii="Roboto" w:eastAsia="Roboto" w:hAnsi="Roboto" w:cs="Roboto"/>
                <w:sz w:val="16"/>
                <w:szCs w:val="16"/>
              </w:rPr>
              <w:t>48.427</w:t>
            </w:r>
          </w:p>
        </w:tc>
        <w:tc>
          <w:tcPr>
            <w:tcW w:w="1035" w:type="dxa"/>
            <w:tcBorders>
              <w:top w:val="nil"/>
              <w:left w:val="nil"/>
              <w:bottom w:val="nil"/>
              <w:right w:val="nil"/>
            </w:tcBorders>
            <w:tcMar>
              <w:top w:w="40" w:type="dxa"/>
              <w:left w:w="40" w:type="dxa"/>
              <w:bottom w:w="40" w:type="dxa"/>
              <w:right w:w="40" w:type="dxa"/>
            </w:tcMar>
            <w:vAlign w:val="center"/>
          </w:tcPr>
          <w:p w14:paraId="2FB729AB" w14:textId="77777777" w:rsidR="00E65594" w:rsidRDefault="00E65594" w:rsidP="00DE5D01">
            <w:pPr>
              <w:widowControl w:val="0"/>
              <w:jc w:val="center"/>
              <w:rPr>
                <w:sz w:val="16"/>
                <w:szCs w:val="16"/>
              </w:rPr>
            </w:pPr>
            <w:r>
              <w:rPr>
                <w:sz w:val="16"/>
                <w:szCs w:val="16"/>
              </w:rPr>
              <w:t>Charcoal</w:t>
            </w:r>
          </w:p>
        </w:tc>
        <w:tc>
          <w:tcPr>
            <w:tcW w:w="1005" w:type="dxa"/>
            <w:tcBorders>
              <w:top w:val="nil"/>
              <w:left w:val="nil"/>
              <w:bottom w:val="nil"/>
              <w:right w:val="nil"/>
            </w:tcBorders>
            <w:tcMar>
              <w:top w:w="40" w:type="dxa"/>
              <w:left w:w="40" w:type="dxa"/>
              <w:bottom w:w="40" w:type="dxa"/>
              <w:right w:w="40" w:type="dxa"/>
            </w:tcMar>
            <w:vAlign w:val="center"/>
          </w:tcPr>
          <w:p w14:paraId="20C661E2" w14:textId="77777777" w:rsidR="00E65594" w:rsidRDefault="00E65594" w:rsidP="00DE5D01">
            <w:pPr>
              <w:widowControl w:val="0"/>
              <w:jc w:val="center"/>
              <w:rPr>
                <w:sz w:val="16"/>
                <w:szCs w:val="16"/>
              </w:rPr>
            </w:pPr>
            <w:r>
              <w:rPr>
                <w:sz w:val="16"/>
                <w:szCs w:val="16"/>
              </w:rPr>
              <w:t>190 ± 30</w:t>
            </w:r>
          </w:p>
        </w:tc>
        <w:tc>
          <w:tcPr>
            <w:tcW w:w="1575" w:type="dxa"/>
            <w:tcBorders>
              <w:top w:val="nil"/>
              <w:left w:val="nil"/>
              <w:bottom w:val="nil"/>
              <w:right w:val="nil"/>
            </w:tcBorders>
            <w:tcMar>
              <w:top w:w="40" w:type="dxa"/>
              <w:left w:w="40" w:type="dxa"/>
              <w:bottom w:w="40" w:type="dxa"/>
              <w:right w:w="40" w:type="dxa"/>
            </w:tcMar>
            <w:vAlign w:val="center"/>
          </w:tcPr>
          <w:p w14:paraId="75A5EFFE" w14:textId="77777777" w:rsidR="00E65594" w:rsidRDefault="00E65594" w:rsidP="00DE5D01">
            <w:pPr>
              <w:widowControl w:val="0"/>
              <w:jc w:val="center"/>
              <w:rPr>
                <w:sz w:val="16"/>
                <w:szCs w:val="16"/>
              </w:rPr>
            </w:pPr>
            <w:r>
              <w:rPr>
                <w:sz w:val="16"/>
                <w:szCs w:val="16"/>
              </w:rPr>
              <w:t>1724-1812 (52.0%)</w:t>
            </w:r>
          </w:p>
          <w:p w14:paraId="79F4DBC1" w14:textId="77777777" w:rsidR="00E65594" w:rsidRDefault="00E65594" w:rsidP="00DE5D01">
            <w:pPr>
              <w:widowControl w:val="0"/>
              <w:jc w:val="center"/>
              <w:rPr>
                <w:sz w:val="16"/>
                <w:szCs w:val="16"/>
              </w:rPr>
            </w:pPr>
            <w:r>
              <w:rPr>
                <w:sz w:val="16"/>
                <w:szCs w:val="16"/>
              </w:rPr>
              <w:t>1648-1695 (21.8%)</w:t>
            </w:r>
          </w:p>
          <w:p w14:paraId="419F7E50" w14:textId="77777777" w:rsidR="00E65594" w:rsidRDefault="00E65594" w:rsidP="00DE5D01">
            <w:pPr>
              <w:widowControl w:val="0"/>
              <w:jc w:val="center"/>
              <w:rPr>
                <w:sz w:val="16"/>
                <w:szCs w:val="16"/>
              </w:rPr>
            </w:pPr>
            <w:r>
              <w:rPr>
                <w:sz w:val="16"/>
                <w:szCs w:val="16"/>
              </w:rPr>
              <w:t>1916- &gt;1950(17.8%)</w:t>
            </w:r>
          </w:p>
          <w:p w14:paraId="1EBD9F00" w14:textId="77777777" w:rsidR="00E65594" w:rsidRDefault="00E65594" w:rsidP="00DE5D01">
            <w:pPr>
              <w:widowControl w:val="0"/>
              <w:jc w:val="center"/>
              <w:rPr>
                <w:sz w:val="16"/>
                <w:szCs w:val="16"/>
              </w:rPr>
            </w:pPr>
            <w:r>
              <w:rPr>
                <w:sz w:val="16"/>
                <w:szCs w:val="16"/>
              </w:rPr>
              <w:t>1838-1878 (3.8%)</w:t>
            </w:r>
          </w:p>
        </w:tc>
        <w:tc>
          <w:tcPr>
            <w:tcW w:w="1095" w:type="dxa"/>
            <w:tcBorders>
              <w:top w:val="nil"/>
              <w:left w:val="nil"/>
              <w:bottom w:val="nil"/>
              <w:right w:val="nil"/>
            </w:tcBorders>
            <w:tcMar>
              <w:top w:w="40" w:type="dxa"/>
              <w:left w:w="40" w:type="dxa"/>
              <w:bottom w:w="40" w:type="dxa"/>
              <w:right w:w="40" w:type="dxa"/>
            </w:tcMar>
            <w:vAlign w:val="center"/>
          </w:tcPr>
          <w:p w14:paraId="6B8997F7" w14:textId="77777777" w:rsidR="00E65594" w:rsidRDefault="00E65594" w:rsidP="00DE5D01">
            <w:pPr>
              <w:widowControl w:val="0"/>
              <w:jc w:val="center"/>
              <w:rPr>
                <w:sz w:val="16"/>
                <w:szCs w:val="16"/>
              </w:rPr>
            </w:pPr>
            <w:r>
              <w:rPr>
                <w:sz w:val="16"/>
                <w:szCs w:val="16"/>
              </w:rPr>
              <w:t>1739-1948</w:t>
            </w:r>
          </w:p>
        </w:tc>
        <w:tc>
          <w:tcPr>
            <w:tcW w:w="1215" w:type="dxa"/>
            <w:tcBorders>
              <w:top w:val="nil"/>
              <w:left w:val="nil"/>
              <w:bottom w:val="nil"/>
              <w:right w:val="nil"/>
            </w:tcBorders>
            <w:tcMar>
              <w:top w:w="40" w:type="dxa"/>
              <w:left w:w="40" w:type="dxa"/>
              <w:bottom w:w="40" w:type="dxa"/>
              <w:right w:w="40" w:type="dxa"/>
            </w:tcMar>
            <w:vAlign w:val="center"/>
          </w:tcPr>
          <w:p w14:paraId="1897DE30" w14:textId="77777777" w:rsidR="00E65594" w:rsidRDefault="00E65594" w:rsidP="00DE5D01">
            <w:pPr>
              <w:widowControl w:val="0"/>
              <w:jc w:val="center"/>
              <w:rPr>
                <w:sz w:val="16"/>
                <w:szCs w:val="16"/>
              </w:rPr>
            </w:pPr>
            <w:r>
              <w:rPr>
                <w:sz w:val="16"/>
                <w:szCs w:val="16"/>
              </w:rPr>
              <w:t>97.66 ± 0.36</w:t>
            </w:r>
          </w:p>
        </w:tc>
        <w:tc>
          <w:tcPr>
            <w:tcW w:w="645" w:type="dxa"/>
            <w:tcBorders>
              <w:top w:val="nil"/>
              <w:left w:val="nil"/>
              <w:bottom w:val="nil"/>
              <w:right w:val="nil"/>
            </w:tcBorders>
            <w:tcMar>
              <w:top w:w="40" w:type="dxa"/>
              <w:left w:w="40" w:type="dxa"/>
              <w:bottom w:w="40" w:type="dxa"/>
              <w:right w:w="40" w:type="dxa"/>
            </w:tcMar>
            <w:vAlign w:val="center"/>
          </w:tcPr>
          <w:p w14:paraId="153389DE" w14:textId="77777777" w:rsidR="00E65594" w:rsidRDefault="00E65594" w:rsidP="00DE5D01">
            <w:pPr>
              <w:widowControl w:val="0"/>
              <w:jc w:val="center"/>
              <w:rPr>
                <w:sz w:val="16"/>
                <w:szCs w:val="16"/>
              </w:rPr>
            </w:pPr>
            <w:r>
              <w:rPr>
                <w:sz w:val="16"/>
                <w:szCs w:val="16"/>
              </w:rPr>
              <w:t>-24.9</w:t>
            </w:r>
          </w:p>
        </w:tc>
        <w:tc>
          <w:tcPr>
            <w:tcW w:w="555" w:type="dxa"/>
            <w:tcBorders>
              <w:top w:val="nil"/>
              <w:left w:val="nil"/>
              <w:bottom w:val="nil"/>
              <w:right w:val="nil"/>
            </w:tcBorders>
            <w:tcMar>
              <w:top w:w="40" w:type="dxa"/>
              <w:left w:w="40" w:type="dxa"/>
              <w:bottom w:w="40" w:type="dxa"/>
              <w:right w:w="40" w:type="dxa"/>
            </w:tcMar>
            <w:vAlign w:val="center"/>
          </w:tcPr>
          <w:p w14:paraId="753CC67D" w14:textId="77777777" w:rsidR="00E65594" w:rsidRDefault="00E65594" w:rsidP="00DE5D01">
            <w:pPr>
              <w:widowControl w:val="0"/>
              <w:jc w:val="center"/>
              <w:rPr>
                <w:sz w:val="16"/>
                <w:szCs w:val="16"/>
              </w:rPr>
            </w:pPr>
            <w:r>
              <w:rPr>
                <w:sz w:val="16"/>
                <w:szCs w:val="16"/>
              </w:rPr>
              <w:t>-</w:t>
            </w:r>
          </w:p>
        </w:tc>
      </w:tr>
      <w:tr w:rsidR="00E65594" w14:paraId="266D29D3" w14:textId="77777777" w:rsidTr="00DE5D01">
        <w:trPr>
          <w:trHeight w:val="315"/>
        </w:trPr>
        <w:tc>
          <w:tcPr>
            <w:tcW w:w="645" w:type="dxa"/>
            <w:tcBorders>
              <w:top w:val="nil"/>
              <w:left w:val="nil"/>
              <w:bottom w:val="nil"/>
              <w:right w:val="nil"/>
            </w:tcBorders>
            <w:tcMar>
              <w:top w:w="40" w:type="dxa"/>
              <w:left w:w="40" w:type="dxa"/>
              <w:bottom w:w="40" w:type="dxa"/>
              <w:right w:w="40" w:type="dxa"/>
            </w:tcMar>
            <w:vAlign w:val="center"/>
          </w:tcPr>
          <w:p w14:paraId="4D675F68" w14:textId="77777777" w:rsidR="00E65594" w:rsidRDefault="00E65594" w:rsidP="00DE5D01">
            <w:pPr>
              <w:widowControl w:val="0"/>
              <w:jc w:val="center"/>
              <w:rPr>
                <w:sz w:val="16"/>
                <w:szCs w:val="16"/>
              </w:rPr>
            </w:pPr>
            <w:r>
              <w:rPr>
                <w:sz w:val="16"/>
                <w:szCs w:val="16"/>
              </w:rPr>
              <w:t>R7</w:t>
            </w:r>
          </w:p>
        </w:tc>
        <w:tc>
          <w:tcPr>
            <w:tcW w:w="705" w:type="dxa"/>
            <w:tcBorders>
              <w:top w:val="nil"/>
              <w:left w:val="nil"/>
              <w:bottom w:val="nil"/>
              <w:right w:val="nil"/>
            </w:tcBorders>
            <w:tcMar>
              <w:top w:w="40" w:type="dxa"/>
              <w:left w:w="40" w:type="dxa"/>
              <w:bottom w:w="40" w:type="dxa"/>
              <w:right w:w="40" w:type="dxa"/>
            </w:tcMar>
            <w:vAlign w:val="center"/>
          </w:tcPr>
          <w:p w14:paraId="11C3F672" w14:textId="77777777" w:rsidR="00E65594" w:rsidRDefault="00E65594" w:rsidP="00DE5D01">
            <w:pPr>
              <w:widowControl w:val="0"/>
              <w:jc w:val="center"/>
              <w:rPr>
                <w:sz w:val="16"/>
                <w:szCs w:val="16"/>
              </w:rPr>
            </w:pPr>
            <w:proofErr w:type="spellStart"/>
            <w:r>
              <w:rPr>
                <w:sz w:val="16"/>
                <w:szCs w:val="16"/>
              </w:rPr>
              <w:t>Agsu</w:t>
            </w:r>
            <w:proofErr w:type="spellEnd"/>
            <w:r>
              <w:rPr>
                <w:sz w:val="16"/>
                <w:szCs w:val="16"/>
              </w:rPr>
              <w:t xml:space="preserve"> T1</w:t>
            </w:r>
          </w:p>
        </w:tc>
        <w:tc>
          <w:tcPr>
            <w:tcW w:w="375" w:type="dxa"/>
            <w:tcBorders>
              <w:top w:val="nil"/>
              <w:left w:val="nil"/>
              <w:bottom w:val="nil"/>
              <w:right w:val="nil"/>
            </w:tcBorders>
            <w:tcMar>
              <w:top w:w="40" w:type="dxa"/>
              <w:left w:w="40" w:type="dxa"/>
              <w:bottom w:w="40" w:type="dxa"/>
              <w:right w:w="40" w:type="dxa"/>
            </w:tcMar>
            <w:vAlign w:val="center"/>
          </w:tcPr>
          <w:p w14:paraId="25D228D7" w14:textId="77777777" w:rsidR="00E65594" w:rsidRDefault="00E65594" w:rsidP="00DE5D01">
            <w:pPr>
              <w:widowControl w:val="0"/>
              <w:jc w:val="center"/>
              <w:rPr>
                <w:sz w:val="16"/>
                <w:szCs w:val="16"/>
              </w:rPr>
            </w:pPr>
            <w:r>
              <w:rPr>
                <w:sz w:val="16"/>
                <w:szCs w:val="16"/>
              </w:rPr>
              <w:t>U5</w:t>
            </w:r>
          </w:p>
        </w:tc>
        <w:tc>
          <w:tcPr>
            <w:tcW w:w="600" w:type="dxa"/>
            <w:tcBorders>
              <w:top w:val="nil"/>
              <w:left w:val="nil"/>
              <w:bottom w:val="nil"/>
              <w:right w:val="nil"/>
            </w:tcBorders>
            <w:tcMar>
              <w:top w:w="40" w:type="dxa"/>
              <w:left w:w="40" w:type="dxa"/>
              <w:bottom w:w="40" w:type="dxa"/>
              <w:right w:w="40" w:type="dxa"/>
            </w:tcMar>
            <w:vAlign w:val="center"/>
          </w:tcPr>
          <w:p w14:paraId="0A758724" w14:textId="77777777" w:rsidR="00E65594" w:rsidRDefault="00E65594" w:rsidP="00DE5D01">
            <w:pPr>
              <w:widowControl w:val="0"/>
              <w:jc w:val="center"/>
              <w:rPr>
                <w:sz w:val="16"/>
                <w:szCs w:val="16"/>
              </w:rPr>
            </w:pPr>
            <w:r>
              <w:rPr>
                <w:sz w:val="16"/>
                <w:szCs w:val="16"/>
              </w:rPr>
              <w:t>40.572</w:t>
            </w:r>
          </w:p>
        </w:tc>
        <w:tc>
          <w:tcPr>
            <w:tcW w:w="645" w:type="dxa"/>
            <w:tcBorders>
              <w:top w:val="nil"/>
              <w:left w:val="nil"/>
              <w:bottom w:val="nil"/>
              <w:right w:val="nil"/>
            </w:tcBorders>
            <w:shd w:val="clear" w:color="auto" w:fill="FFFFFF"/>
            <w:tcMar>
              <w:top w:w="40" w:type="dxa"/>
              <w:left w:w="40" w:type="dxa"/>
              <w:bottom w:w="40" w:type="dxa"/>
              <w:right w:w="40" w:type="dxa"/>
            </w:tcMar>
            <w:vAlign w:val="center"/>
          </w:tcPr>
          <w:p w14:paraId="59CE2B0C" w14:textId="77777777" w:rsidR="00E65594" w:rsidRDefault="00E65594" w:rsidP="00DE5D01">
            <w:pPr>
              <w:widowControl w:val="0"/>
              <w:jc w:val="center"/>
              <w:rPr>
                <w:sz w:val="16"/>
                <w:szCs w:val="16"/>
              </w:rPr>
            </w:pPr>
            <w:r>
              <w:rPr>
                <w:rFonts w:ascii="Roboto" w:eastAsia="Roboto" w:hAnsi="Roboto" w:cs="Roboto"/>
                <w:sz w:val="16"/>
                <w:szCs w:val="16"/>
              </w:rPr>
              <w:t>48.427</w:t>
            </w:r>
          </w:p>
        </w:tc>
        <w:tc>
          <w:tcPr>
            <w:tcW w:w="1035" w:type="dxa"/>
            <w:tcBorders>
              <w:top w:val="nil"/>
              <w:left w:val="nil"/>
              <w:bottom w:val="nil"/>
              <w:right w:val="nil"/>
            </w:tcBorders>
            <w:tcMar>
              <w:top w:w="40" w:type="dxa"/>
              <w:left w:w="40" w:type="dxa"/>
              <w:bottom w:w="40" w:type="dxa"/>
              <w:right w:w="40" w:type="dxa"/>
            </w:tcMar>
            <w:vAlign w:val="center"/>
          </w:tcPr>
          <w:p w14:paraId="55564353" w14:textId="77777777" w:rsidR="00E65594" w:rsidRDefault="00E65594" w:rsidP="00DE5D01">
            <w:pPr>
              <w:widowControl w:val="0"/>
              <w:jc w:val="center"/>
              <w:rPr>
                <w:sz w:val="16"/>
                <w:szCs w:val="16"/>
              </w:rPr>
            </w:pPr>
            <w:r>
              <w:rPr>
                <w:sz w:val="16"/>
                <w:szCs w:val="16"/>
              </w:rPr>
              <w:t>Plant material</w:t>
            </w:r>
          </w:p>
        </w:tc>
        <w:tc>
          <w:tcPr>
            <w:tcW w:w="1005" w:type="dxa"/>
            <w:tcBorders>
              <w:top w:val="nil"/>
              <w:left w:val="nil"/>
              <w:bottom w:val="nil"/>
              <w:right w:val="nil"/>
            </w:tcBorders>
            <w:tcMar>
              <w:top w:w="40" w:type="dxa"/>
              <w:left w:w="40" w:type="dxa"/>
              <w:bottom w:w="40" w:type="dxa"/>
              <w:right w:w="40" w:type="dxa"/>
            </w:tcMar>
            <w:vAlign w:val="center"/>
          </w:tcPr>
          <w:p w14:paraId="6961AA6E" w14:textId="77777777" w:rsidR="00E65594" w:rsidRDefault="00E65594" w:rsidP="00DE5D01">
            <w:pPr>
              <w:widowControl w:val="0"/>
              <w:jc w:val="center"/>
              <w:rPr>
                <w:sz w:val="16"/>
                <w:szCs w:val="16"/>
              </w:rPr>
            </w:pPr>
            <w:r>
              <w:rPr>
                <w:sz w:val="16"/>
                <w:szCs w:val="16"/>
              </w:rPr>
              <w:t>-770 ± 30</w:t>
            </w:r>
          </w:p>
        </w:tc>
        <w:tc>
          <w:tcPr>
            <w:tcW w:w="1575" w:type="dxa"/>
            <w:tcBorders>
              <w:top w:val="nil"/>
              <w:left w:val="nil"/>
              <w:bottom w:val="nil"/>
              <w:right w:val="nil"/>
            </w:tcBorders>
            <w:tcMar>
              <w:top w:w="40" w:type="dxa"/>
              <w:left w:w="40" w:type="dxa"/>
              <w:bottom w:w="40" w:type="dxa"/>
              <w:right w:w="40" w:type="dxa"/>
            </w:tcMar>
            <w:vAlign w:val="center"/>
          </w:tcPr>
          <w:p w14:paraId="62D431A6" w14:textId="77777777" w:rsidR="00E65594" w:rsidRDefault="00E65594" w:rsidP="00DE5D01">
            <w:pPr>
              <w:widowControl w:val="0"/>
              <w:jc w:val="center"/>
              <w:rPr>
                <w:sz w:val="16"/>
                <w:szCs w:val="16"/>
              </w:rPr>
            </w:pPr>
            <w:r>
              <w:rPr>
                <w:sz w:val="16"/>
                <w:szCs w:val="16"/>
              </w:rPr>
              <w:t>1996-2000 (92.9%)</w:t>
            </w:r>
          </w:p>
          <w:p w14:paraId="01819888" w14:textId="77777777" w:rsidR="00E65594" w:rsidRDefault="00E65594" w:rsidP="00DE5D01">
            <w:pPr>
              <w:widowControl w:val="0"/>
              <w:jc w:val="center"/>
              <w:rPr>
                <w:sz w:val="16"/>
                <w:szCs w:val="16"/>
              </w:rPr>
            </w:pPr>
            <w:r>
              <w:rPr>
                <w:sz w:val="16"/>
                <w:szCs w:val="16"/>
              </w:rPr>
              <w:t>1956-1957 (2.5%)</w:t>
            </w:r>
          </w:p>
        </w:tc>
        <w:tc>
          <w:tcPr>
            <w:tcW w:w="1095" w:type="dxa"/>
            <w:tcBorders>
              <w:top w:val="nil"/>
              <w:left w:val="nil"/>
              <w:bottom w:val="nil"/>
              <w:right w:val="nil"/>
            </w:tcBorders>
            <w:tcMar>
              <w:top w:w="40" w:type="dxa"/>
              <w:left w:w="40" w:type="dxa"/>
              <w:bottom w:w="40" w:type="dxa"/>
              <w:right w:w="40" w:type="dxa"/>
            </w:tcMar>
            <w:vAlign w:val="center"/>
          </w:tcPr>
          <w:p w14:paraId="63C54A1C" w14:textId="77777777" w:rsidR="00E65594" w:rsidRDefault="00E65594" w:rsidP="00DE5D01">
            <w:pPr>
              <w:widowControl w:val="0"/>
              <w:jc w:val="center"/>
              <w:rPr>
                <w:sz w:val="16"/>
                <w:szCs w:val="16"/>
              </w:rPr>
            </w:pPr>
            <w:r>
              <w:rPr>
                <w:sz w:val="16"/>
                <w:szCs w:val="16"/>
              </w:rPr>
              <w:t>-</w:t>
            </w:r>
          </w:p>
        </w:tc>
        <w:tc>
          <w:tcPr>
            <w:tcW w:w="1215" w:type="dxa"/>
            <w:tcBorders>
              <w:top w:val="nil"/>
              <w:left w:val="nil"/>
              <w:bottom w:val="nil"/>
              <w:right w:val="nil"/>
            </w:tcBorders>
            <w:tcMar>
              <w:top w:w="40" w:type="dxa"/>
              <w:left w:w="40" w:type="dxa"/>
              <w:bottom w:w="40" w:type="dxa"/>
              <w:right w:w="40" w:type="dxa"/>
            </w:tcMar>
            <w:vAlign w:val="center"/>
          </w:tcPr>
          <w:p w14:paraId="22B8F090" w14:textId="77777777" w:rsidR="00E65594" w:rsidRDefault="00E65594" w:rsidP="00DE5D01">
            <w:pPr>
              <w:widowControl w:val="0"/>
              <w:jc w:val="center"/>
              <w:rPr>
                <w:sz w:val="16"/>
                <w:szCs w:val="16"/>
              </w:rPr>
            </w:pPr>
            <w:r>
              <w:rPr>
                <w:sz w:val="16"/>
                <w:szCs w:val="16"/>
              </w:rPr>
              <w:t>110.06 ± 0.41</w:t>
            </w:r>
          </w:p>
        </w:tc>
        <w:tc>
          <w:tcPr>
            <w:tcW w:w="645" w:type="dxa"/>
            <w:tcBorders>
              <w:top w:val="nil"/>
              <w:left w:val="nil"/>
              <w:bottom w:val="nil"/>
              <w:right w:val="nil"/>
            </w:tcBorders>
            <w:tcMar>
              <w:top w:w="40" w:type="dxa"/>
              <w:left w:w="40" w:type="dxa"/>
              <w:bottom w:w="40" w:type="dxa"/>
              <w:right w:w="40" w:type="dxa"/>
            </w:tcMar>
            <w:vAlign w:val="center"/>
          </w:tcPr>
          <w:p w14:paraId="2BF181D5" w14:textId="77777777" w:rsidR="00E65594" w:rsidRDefault="00E65594" w:rsidP="00DE5D01">
            <w:pPr>
              <w:widowControl w:val="0"/>
              <w:jc w:val="center"/>
              <w:rPr>
                <w:sz w:val="16"/>
                <w:szCs w:val="16"/>
              </w:rPr>
            </w:pPr>
            <w:r>
              <w:rPr>
                <w:sz w:val="16"/>
                <w:szCs w:val="16"/>
              </w:rPr>
              <w:t>-28.0</w:t>
            </w:r>
          </w:p>
        </w:tc>
        <w:tc>
          <w:tcPr>
            <w:tcW w:w="555" w:type="dxa"/>
            <w:tcBorders>
              <w:top w:val="nil"/>
              <w:left w:val="nil"/>
              <w:bottom w:val="nil"/>
              <w:right w:val="nil"/>
            </w:tcBorders>
            <w:tcMar>
              <w:top w:w="40" w:type="dxa"/>
              <w:left w:w="40" w:type="dxa"/>
              <w:bottom w:w="40" w:type="dxa"/>
              <w:right w:w="40" w:type="dxa"/>
            </w:tcMar>
            <w:vAlign w:val="center"/>
          </w:tcPr>
          <w:p w14:paraId="6B0E80B9" w14:textId="77777777" w:rsidR="00E65594" w:rsidRDefault="00E65594" w:rsidP="00DE5D01">
            <w:pPr>
              <w:widowControl w:val="0"/>
              <w:jc w:val="center"/>
              <w:rPr>
                <w:sz w:val="16"/>
                <w:szCs w:val="16"/>
              </w:rPr>
            </w:pPr>
            <w:r>
              <w:rPr>
                <w:sz w:val="16"/>
                <w:szCs w:val="16"/>
              </w:rPr>
              <w:t>-</w:t>
            </w:r>
          </w:p>
        </w:tc>
      </w:tr>
      <w:tr w:rsidR="00E65594" w14:paraId="211B0410" w14:textId="77777777" w:rsidTr="00DE5D01">
        <w:trPr>
          <w:trHeight w:val="315"/>
        </w:trPr>
        <w:tc>
          <w:tcPr>
            <w:tcW w:w="645" w:type="dxa"/>
            <w:tcBorders>
              <w:top w:val="nil"/>
              <w:left w:val="nil"/>
              <w:bottom w:val="nil"/>
              <w:right w:val="nil"/>
            </w:tcBorders>
            <w:tcMar>
              <w:top w:w="40" w:type="dxa"/>
              <w:left w:w="40" w:type="dxa"/>
              <w:bottom w:w="40" w:type="dxa"/>
              <w:right w:w="40" w:type="dxa"/>
            </w:tcMar>
            <w:vAlign w:val="center"/>
          </w:tcPr>
          <w:p w14:paraId="44EA5DCB" w14:textId="77777777" w:rsidR="00E65594" w:rsidRDefault="00E65594" w:rsidP="00DE5D01">
            <w:pPr>
              <w:widowControl w:val="0"/>
              <w:jc w:val="center"/>
              <w:rPr>
                <w:sz w:val="16"/>
                <w:szCs w:val="16"/>
              </w:rPr>
            </w:pPr>
            <w:r>
              <w:rPr>
                <w:sz w:val="16"/>
                <w:szCs w:val="16"/>
              </w:rPr>
              <w:t>R10</w:t>
            </w:r>
          </w:p>
        </w:tc>
        <w:tc>
          <w:tcPr>
            <w:tcW w:w="705" w:type="dxa"/>
            <w:tcBorders>
              <w:top w:val="nil"/>
              <w:left w:val="nil"/>
              <w:bottom w:val="nil"/>
              <w:right w:val="nil"/>
            </w:tcBorders>
            <w:tcMar>
              <w:top w:w="40" w:type="dxa"/>
              <w:left w:w="40" w:type="dxa"/>
              <w:bottom w:w="40" w:type="dxa"/>
              <w:right w:w="40" w:type="dxa"/>
            </w:tcMar>
            <w:vAlign w:val="center"/>
          </w:tcPr>
          <w:p w14:paraId="6E1CFBED" w14:textId="77777777" w:rsidR="00E65594" w:rsidRDefault="00E65594" w:rsidP="00DE5D01">
            <w:pPr>
              <w:widowControl w:val="0"/>
              <w:jc w:val="center"/>
              <w:rPr>
                <w:sz w:val="16"/>
                <w:szCs w:val="16"/>
              </w:rPr>
            </w:pPr>
            <w:proofErr w:type="spellStart"/>
            <w:r>
              <w:rPr>
                <w:sz w:val="16"/>
                <w:szCs w:val="16"/>
              </w:rPr>
              <w:t>Agsu</w:t>
            </w:r>
            <w:proofErr w:type="spellEnd"/>
            <w:r>
              <w:rPr>
                <w:sz w:val="16"/>
                <w:szCs w:val="16"/>
              </w:rPr>
              <w:t xml:space="preserve"> T1</w:t>
            </w:r>
          </w:p>
        </w:tc>
        <w:tc>
          <w:tcPr>
            <w:tcW w:w="375" w:type="dxa"/>
            <w:tcBorders>
              <w:top w:val="nil"/>
              <w:left w:val="nil"/>
              <w:bottom w:val="nil"/>
              <w:right w:val="nil"/>
            </w:tcBorders>
            <w:tcMar>
              <w:top w:w="40" w:type="dxa"/>
              <w:left w:w="40" w:type="dxa"/>
              <w:bottom w:w="40" w:type="dxa"/>
              <w:right w:w="40" w:type="dxa"/>
            </w:tcMar>
            <w:vAlign w:val="center"/>
          </w:tcPr>
          <w:p w14:paraId="68F9A25D" w14:textId="77777777" w:rsidR="00E65594" w:rsidRDefault="00E65594" w:rsidP="00DE5D01">
            <w:pPr>
              <w:widowControl w:val="0"/>
              <w:jc w:val="center"/>
              <w:rPr>
                <w:sz w:val="16"/>
                <w:szCs w:val="16"/>
              </w:rPr>
            </w:pPr>
            <w:r>
              <w:rPr>
                <w:sz w:val="16"/>
                <w:szCs w:val="16"/>
              </w:rPr>
              <w:t>U2</w:t>
            </w:r>
          </w:p>
        </w:tc>
        <w:tc>
          <w:tcPr>
            <w:tcW w:w="600" w:type="dxa"/>
            <w:tcBorders>
              <w:top w:val="nil"/>
              <w:left w:val="nil"/>
              <w:bottom w:val="nil"/>
              <w:right w:val="nil"/>
            </w:tcBorders>
            <w:tcMar>
              <w:top w:w="40" w:type="dxa"/>
              <w:left w:w="40" w:type="dxa"/>
              <w:bottom w:w="40" w:type="dxa"/>
              <w:right w:w="40" w:type="dxa"/>
            </w:tcMar>
            <w:vAlign w:val="center"/>
          </w:tcPr>
          <w:p w14:paraId="4BD6BFF2" w14:textId="77777777" w:rsidR="00E65594" w:rsidRDefault="00E65594" w:rsidP="00DE5D01">
            <w:pPr>
              <w:widowControl w:val="0"/>
              <w:jc w:val="center"/>
              <w:rPr>
                <w:sz w:val="16"/>
                <w:szCs w:val="16"/>
              </w:rPr>
            </w:pPr>
            <w:r>
              <w:rPr>
                <w:sz w:val="16"/>
                <w:szCs w:val="16"/>
              </w:rPr>
              <w:t>40.572</w:t>
            </w:r>
          </w:p>
        </w:tc>
        <w:tc>
          <w:tcPr>
            <w:tcW w:w="645" w:type="dxa"/>
            <w:tcBorders>
              <w:top w:val="nil"/>
              <w:left w:val="nil"/>
              <w:bottom w:val="nil"/>
              <w:right w:val="nil"/>
            </w:tcBorders>
            <w:shd w:val="clear" w:color="auto" w:fill="FFFFFF"/>
            <w:tcMar>
              <w:top w:w="40" w:type="dxa"/>
              <w:left w:w="40" w:type="dxa"/>
              <w:bottom w:w="40" w:type="dxa"/>
              <w:right w:w="40" w:type="dxa"/>
            </w:tcMar>
            <w:vAlign w:val="center"/>
          </w:tcPr>
          <w:p w14:paraId="088E91EA" w14:textId="77777777" w:rsidR="00E65594" w:rsidRDefault="00E65594" w:rsidP="00DE5D01">
            <w:pPr>
              <w:widowControl w:val="0"/>
              <w:jc w:val="center"/>
              <w:rPr>
                <w:sz w:val="16"/>
                <w:szCs w:val="16"/>
              </w:rPr>
            </w:pPr>
            <w:r>
              <w:rPr>
                <w:rFonts w:ascii="Roboto" w:eastAsia="Roboto" w:hAnsi="Roboto" w:cs="Roboto"/>
                <w:sz w:val="16"/>
                <w:szCs w:val="16"/>
              </w:rPr>
              <w:t>48.427</w:t>
            </w:r>
          </w:p>
        </w:tc>
        <w:tc>
          <w:tcPr>
            <w:tcW w:w="1035" w:type="dxa"/>
            <w:tcBorders>
              <w:top w:val="nil"/>
              <w:left w:val="nil"/>
              <w:bottom w:val="nil"/>
              <w:right w:val="nil"/>
            </w:tcBorders>
            <w:tcMar>
              <w:top w:w="40" w:type="dxa"/>
              <w:left w:w="40" w:type="dxa"/>
              <w:bottom w:w="40" w:type="dxa"/>
              <w:right w:w="40" w:type="dxa"/>
            </w:tcMar>
            <w:vAlign w:val="center"/>
          </w:tcPr>
          <w:p w14:paraId="6080802B" w14:textId="77777777" w:rsidR="00E65594" w:rsidRDefault="00E65594" w:rsidP="00DE5D01">
            <w:pPr>
              <w:widowControl w:val="0"/>
              <w:jc w:val="center"/>
              <w:rPr>
                <w:sz w:val="16"/>
                <w:szCs w:val="16"/>
              </w:rPr>
            </w:pPr>
            <w:r>
              <w:rPr>
                <w:sz w:val="16"/>
                <w:szCs w:val="16"/>
              </w:rPr>
              <w:t>Plant Material</w:t>
            </w:r>
          </w:p>
        </w:tc>
        <w:tc>
          <w:tcPr>
            <w:tcW w:w="1005" w:type="dxa"/>
            <w:tcBorders>
              <w:top w:val="nil"/>
              <w:left w:val="nil"/>
              <w:bottom w:val="nil"/>
              <w:right w:val="nil"/>
            </w:tcBorders>
            <w:tcMar>
              <w:top w:w="40" w:type="dxa"/>
              <w:left w:w="40" w:type="dxa"/>
              <w:bottom w:w="40" w:type="dxa"/>
              <w:right w:w="40" w:type="dxa"/>
            </w:tcMar>
            <w:vAlign w:val="center"/>
          </w:tcPr>
          <w:p w14:paraId="3CC1DA5F" w14:textId="77777777" w:rsidR="00E65594" w:rsidRDefault="00E65594" w:rsidP="00DE5D01">
            <w:pPr>
              <w:widowControl w:val="0"/>
              <w:jc w:val="center"/>
              <w:rPr>
                <w:sz w:val="16"/>
                <w:szCs w:val="16"/>
              </w:rPr>
            </w:pPr>
            <w:r>
              <w:rPr>
                <w:sz w:val="16"/>
                <w:szCs w:val="16"/>
              </w:rPr>
              <w:t>-3410 ± 30</w:t>
            </w:r>
          </w:p>
        </w:tc>
        <w:tc>
          <w:tcPr>
            <w:tcW w:w="1575" w:type="dxa"/>
            <w:tcBorders>
              <w:top w:val="nil"/>
              <w:left w:val="nil"/>
              <w:bottom w:val="nil"/>
              <w:right w:val="nil"/>
            </w:tcBorders>
            <w:tcMar>
              <w:top w:w="40" w:type="dxa"/>
              <w:left w:w="40" w:type="dxa"/>
              <w:bottom w:w="40" w:type="dxa"/>
              <w:right w:w="40" w:type="dxa"/>
            </w:tcMar>
            <w:vAlign w:val="center"/>
          </w:tcPr>
          <w:p w14:paraId="73E345CD" w14:textId="77777777" w:rsidR="00E65594" w:rsidRDefault="00E65594" w:rsidP="00DE5D01">
            <w:pPr>
              <w:widowControl w:val="0"/>
              <w:jc w:val="center"/>
              <w:rPr>
                <w:sz w:val="16"/>
                <w:szCs w:val="16"/>
              </w:rPr>
            </w:pPr>
            <w:r>
              <w:rPr>
                <w:sz w:val="16"/>
                <w:szCs w:val="16"/>
              </w:rPr>
              <w:t>1967-1971 (93.2%)</w:t>
            </w:r>
          </w:p>
          <w:p w14:paraId="70F9BAC3" w14:textId="77777777" w:rsidR="00E65594" w:rsidRDefault="00E65594" w:rsidP="00DE5D01">
            <w:pPr>
              <w:widowControl w:val="0"/>
              <w:jc w:val="center"/>
              <w:rPr>
                <w:sz w:val="16"/>
                <w:szCs w:val="16"/>
              </w:rPr>
            </w:pPr>
            <w:r>
              <w:rPr>
                <w:sz w:val="16"/>
                <w:szCs w:val="16"/>
              </w:rPr>
              <w:t>1962 (2.2%)</w:t>
            </w:r>
          </w:p>
        </w:tc>
        <w:tc>
          <w:tcPr>
            <w:tcW w:w="1095" w:type="dxa"/>
            <w:tcBorders>
              <w:top w:val="nil"/>
              <w:left w:val="nil"/>
              <w:bottom w:val="nil"/>
              <w:right w:val="nil"/>
            </w:tcBorders>
            <w:tcMar>
              <w:top w:w="40" w:type="dxa"/>
              <w:left w:w="40" w:type="dxa"/>
              <w:bottom w:w="40" w:type="dxa"/>
              <w:right w:w="40" w:type="dxa"/>
            </w:tcMar>
            <w:vAlign w:val="center"/>
          </w:tcPr>
          <w:p w14:paraId="377EBD42" w14:textId="77777777" w:rsidR="00E65594" w:rsidRDefault="00E65594" w:rsidP="00DE5D01">
            <w:pPr>
              <w:widowControl w:val="0"/>
              <w:jc w:val="center"/>
              <w:rPr>
                <w:sz w:val="16"/>
                <w:szCs w:val="16"/>
              </w:rPr>
            </w:pPr>
            <w:r>
              <w:rPr>
                <w:sz w:val="16"/>
                <w:szCs w:val="16"/>
              </w:rPr>
              <w:t>-</w:t>
            </w:r>
          </w:p>
        </w:tc>
        <w:tc>
          <w:tcPr>
            <w:tcW w:w="1215" w:type="dxa"/>
            <w:tcBorders>
              <w:top w:val="nil"/>
              <w:left w:val="nil"/>
              <w:bottom w:val="nil"/>
              <w:right w:val="nil"/>
            </w:tcBorders>
            <w:tcMar>
              <w:top w:w="40" w:type="dxa"/>
              <w:left w:w="40" w:type="dxa"/>
              <w:bottom w:w="40" w:type="dxa"/>
              <w:right w:w="40" w:type="dxa"/>
            </w:tcMar>
            <w:vAlign w:val="center"/>
          </w:tcPr>
          <w:p w14:paraId="142F4E8B" w14:textId="77777777" w:rsidR="00E65594" w:rsidRDefault="00E65594" w:rsidP="00DE5D01">
            <w:pPr>
              <w:widowControl w:val="0"/>
              <w:jc w:val="center"/>
              <w:rPr>
                <w:sz w:val="16"/>
                <w:szCs w:val="16"/>
              </w:rPr>
            </w:pPr>
            <w:r>
              <w:rPr>
                <w:sz w:val="16"/>
                <w:szCs w:val="16"/>
              </w:rPr>
              <w:t>152.88 ± 0.57</w:t>
            </w:r>
          </w:p>
        </w:tc>
        <w:tc>
          <w:tcPr>
            <w:tcW w:w="645" w:type="dxa"/>
            <w:tcBorders>
              <w:top w:val="nil"/>
              <w:left w:val="nil"/>
              <w:bottom w:val="nil"/>
              <w:right w:val="nil"/>
            </w:tcBorders>
            <w:tcMar>
              <w:top w:w="40" w:type="dxa"/>
              <w:left w:w="40" w:type="dxa"/>
              <w:bottom w:w="40" w:type="dxa"/>
              <w:right w:w="40" w:type="dxa"/>
            </w:tcMar>
            <w:vAlign w:val="center"/>
          </w:tcPr>
          <w:p w14:paraId="75E4DB7F" w14:textId="77777777" w:rsidR="00E65594" w:rsidRDefault="00E65594" w:rsidP="00DE5D01">
            <w:pPr>
              <w:widowControl w:val="0"/>
              <w:jc w:val="center"/>
              <w:rPr>
                <w:sz w:val="16"/>
                <w:szCs w:val="16"/>
              </w:rPr>
            </w:pPr>
            <w:r>
              <w:rPr>
                <w:sz w:val="16"/>
                <w:szCs w:val="16"/>
              </w:rPr>
              <w:t>-25.8</w:t>
            </w:r>
          </w:p>
        </w:tc>
        <w:tc>
          <w:tcPr>
            <w:tcW w:w="555" w:type="dxa"/>
            <w:tcBorders>
              <w:top w:val="nil"/>
              <w:left w:val="nil"/>
              <w:bottom w:val="nil"/>
              <w:right w:val="nil"/>
            </w:tcBorders>
            <w:tcMar>
              <w:top w:w="40" w:type="dxa"/>
              <w:left w:w="40" w:type="dxa"/>
              <w:bottom w:w="40" w:type="dxa"/>
              <w:right w:w="40" w:type="dxa"/>
            </w:tcMar>
            <w:vAlign w:val="center"/>
          </w:tcPr>
          <w:p w14:paraId="67C58F65" w14:textId="77777777" w:rsidR="00E65594" w:rsidRDefault="00E65594" w:rsidP="00DE5D01">
            <w:pPr>
              <w:widowControl w:val="0"/>
              <w:jc w:val="center"/>
              <w:rPr>
                <w:sz w:val="16"/>
                <w:szCs w:val="16"/>
              </w:rPr>
            </w:pPr>
            <w:r>
              <w:rPr>
                <w:sz w:val="16"/>
                <w:szCs w:val="16"/>
              </w:rPr>
              <w:t>-</w:t>
            </w:r>
          </w:p>
        </w:tc>
      </w:tr>
      <w:tr w:rsidR="00E65594" w14:paraId="612A1ECB" w14:textId="77777777" w:rsidTr="00DE5D01">
        <w:trPr>
          <w:trHeight w:val="315"/>
        </w:trPr>
        <w:tc>
          <w:tcPr>
            <w:tcW w:w="645" w:type="dxa"/>
            <w:tcBorders>
              <w:top w:val="nil"/>
              <w:left w:val="nil"/>
              <w:bottom w:val="nil"/>
              <w:right w:val="nil"/>
            </w:tcBorders>
            <w:tcMar>
              <w:top w:w="40" w:type="dxa"/>
              <w:left w:w="40" w:type="dxa"/>
              <w:bottom w:w="40" w:type="dxa"/>
              <w:right w:w="40" w:type="dxa"/>
            </w:tcMar>
            <w:vAlign w:val="center"/>
          </w:tcPr>
          <w:p w14:paraId="2477A2A5" w14:textId="77777777" w:rsidR="00E65594" w:rsidRDefault="00E65594" w:rsidP="00DE5D01">
            <w:pPr>
              <w:widowControl w:val="0"/>
              <w:jc w:val="center"/>
              <w:rPr>
                <w:sz w:val="16"/>
                <w:szCs w:val="16"/>
              </w:rPr>
            </w:pPr>
            <w:r>
              <w:rPr>
                <w:sz w:val="16"/>
                <w:szCs w:val="16"/>
              </w:rPr>
              <w:t>R11</w:t>
            </w:r>
          </w:p>
        </w:tc>
        <w:tc>
          <w:tcPr>
            <w:tcW w:w="705" w:type="dxa"/>
            <w:tcBorders>
              <w:top w:val="nil"/>
              <w:left w:val="nil"/>
              <w:bottom w:val="nil"/>
              <w:right w:val="nil"/>
            </w:tcBorders>
            <w:tcMar>
              <w:top w:w="40" w:type="dxa"/>
              <w:left w:w="40" w:type="dxa"/>
              <w:bottom w:w="40" w:type="dxa"/>
              <w:right w:w="40" w:type="dxa"/>
            </w:tcMar>
            <w:vAlign w:val="center"/>
          </w:tcPr>
          <w:p w14:paraId="1CA75CB3" w14:textId="77777777" w:rsidR="00E65594" w:rsidRDefault="00E65594" w:rsidP="00DE5D01">
            <w:pPr>
              <w:widowControl w:val="0"/>
              <w:jc w:val="center"/>
              <w:rPr>
                <w:sz w:val="16"/>
                <w:szCs w:val="16"/>
              </w:rPr>
            </w:pPr>
            <w:proofErr w:type="spellStart"/>
            <w:r>
              <w:rPr>
                <w:sz w:val="16"/>
                <w:szCs w:val="16"/>
              </w:rPr>
              <w:t>Agsu</w:t>
            </w:r>
            <w:proofErr w:type="spellEnd"/>
            <w:r>
              <w:rPr>
                <w:sz w:val="16"/>
                <w:szCs w:val="16"/>
              </w:rPr>
              <w:t xml:space="preserve"> T1</w:t>
            </w:r>
          </w:p>
        </w:tc>
        <w:tc>
          <w:tcPr>
            <w:tcW w:w="375" w:type="dxa"/>
            <w:tcBorders>
              <w:top w:val="nil"/>
              <w:left w:val="nil"/>
              <w:bottom w:val="nil"/>
              <w:right w:val="nil"/>
            </w:tcBorders>
            <w:tcMar>
              <w:top w:w="40" w:type="dxa"/>
              <w:left w:w="40" w:type="dxa"/>
              <w:bottom w:w="40" w:type="dxa"/>
              <w:right w:w="40" w:type="dxa"/>
            </w:tcMar>
            <w:vAlign w:val="center"/>
          </w:tcPr>
          <w:p w14:paraId="5B9C00D0" w14:textId="77777777" w:rsidR="00E65594" w:rsidRDefault="00E65594" w:rsidP="00DE5D01">
            <w:pPr>
              <w:widowControl w:val="0"/>
              <w:jc w:val="center"/>
              <w:rPr>
                <w:sz w:val="16"/>
                <w:szCs w:val="16"/>
              </w:rPr>
            </w:pPr>
            <w:r>
              <w:rPr>
                <w:sz w:val="16"/>
                <w:szCs w:val="16"/>
              </w:rPr>
              <w:t>U2</w:t>
            </w:r>
          </w:p>
        </w:tc>
        <w:tc>
          <w:tcPr>
            <w:tcW w:w="600" w:type="dxa"/>
            <w:tcBorders>
              <w:top w:val="nil"/>
              <w:left w:val="nil"/>
              <w:bottom w:val="nil"/>
              <w:right w:val="nil"/>
            </w:tcBorders>
            <w:tcMar>
              <w:top w:w="40" w:type="dxa"/>
              <w:left w:w="40" w:type="dxa"/>
              <w:bottom w:w="40" w:type="dxa"/>
              <w:right w:w="40" w:type="dxa"/>
            </w:tcMar>
            <w:vAlign w:val="center"/>
          </w:tcPr>
          <w:p w14:paraId="0AD817D6" w14:textId="77777777" w:rsidR="00E65594" w:rsidRDefault="00E65594" w:rsidP="00DE5D01">
            <w:pPr>
              <w:widowControl w:val="0"/>
              <w:jc w:val="center"/>
              <w:rPr>
                <w:sz w:val="16"/>
                <w:szCs w:val="16"/>
              </w:rPr>
            </w:pPr>
            <w:r>
              <w:rPr>
                <w:sz w:val="16"/>
                <w:szCs w:val="16"/>
              </w:rPr>
              <w:t>40.572</w:t>
            </w:r>
          </w:p>
        </w:tc>
        <w:tc>
          <w:tcPr>
            <w:tcW w:w="645" w:type="dxa"/>
            <w:tcBorders>
              <w:top w:val="nil"/>
              <w:left w:val="nil"/>
              <w:bottom w:val="nil"/>
              <w:right w:val="nil"/>
            </w:tcBorders>
            <w:shd w:val="clear" w:color="auto" w:fill="FFFFFF"/>
            <w:tcMar>
              <w:top w:w="40" w:type="dxa"/>
              <w:left w:w="40" w:type="dxa"/>
              <w:bottom w:w="40" w:type="dxa"/>
              <w:right w:w="40" w:type="dxa"/>
            </w:tcMar>
            <w:vAlign w:val="center"/>
          </w:tcPr>
          <w:p w14:paraId="1F173247" w14:textId="77777777" w:rsidR="00E65594" w:rsidRDefault="00E65594" w:rsidP="00DE5D01">
            <w:pPr>
              <w:widowControl w:val="0"/>
              <w:jc w:val="center"/>
              <w:rPr>
                <w:sz w:val="16"/>
                <w:szCs w:val="16"/>
              </w:rPr>
            </w:pPr>
            <w:r>
              <w:rPr>
                <w:rFonts w:ascii="Roboto" w:eastAsia="Roboto" w:hAnsi="Roboto" w:cs="Roboto"/>
                <w:sz w:val="16"/>
                <w:szCs w:val="16"/>
              </w:rPr>
              <w:t>48.427</w:t>
            </w:r>
          </w:p>
        </w:tc>
        <w:tc>
          <w:tcPr>
            <w:tcW w:w="1035" w:type="dxa"/>
            <w:tcBorders>
              <w:top w:val="nil"/>
              <w:left w:val="nil"/>
              <w:bottom w:val="nil"/>
              <w:right w:val="nil"/>
            </w:tcBorders>
            <w:tcMar>
              <w:top w:w="40" w:type="dxa"/>
              <w:left w:w="40" w:type="dxa"/>
              <w:bottom w:w="40" w:type="dxa"/>
              <w:right w:w="40" w:type="dxa"/>
            </w:tcMar>
            <w:vAlign w:val="center"/>
          </w:tcPr>
          <w:p w14:paraId="57F096D9" w14:textId="77777777" w:rsidR="00E65594" w:rsidRDefault="00E65594" w:rsidP="00DE5D01">
            <w:pPr>
              <w:widowControl w:val="0"/>
              <w:jc w:val="center"/>
              <w:rPr>
                <w:sz w:val="16"/>
                <w:szCs w:val="16"/>
              </w:rPr>
            </w:pPr>
            <w:r>
              <w:rPr>
                <w:sz w:val="16"/>
                <w:szCs w:val="16"/>
              </w:rPr>
              <w:t>Plant Material</w:t>
            </w:r>
          </w:p>
        </w:tc>
        <w:tc>
          <w:tcPr>
            <w:tcW w:w="1005" w:type="dxa"/>
            <w:tcBorders>
              <w:top w:val="nil"/>
              <w:left w:val="nil"/>
              <w:bottom w:val="nil"/>
              <w:right w:val="nil"/>
            </w:tcBorders>
            <w:tcMar>
              <w:top w:w="40" w:type="dxa"/>
              <w:left w:w="40" w:type="dxa"/>
              <w:bottom w:w="40" w:type="dxa"/>
              <w:right w:w="40" w:type="dxa"/>
            </w:tcMar>
            <w:vAlign w:val="center"/>
          </w:tcPr>
          <w:p w14:paraId="43D7E07E" w14:textId="77777777" w:rsidR="00E65594" w:rsidRDefault="00E65594" w:rsidP="00DE5D01">
            <w:pPr>
              <w:widowControl w:val="0"/>
              <w:jc w:val="center"/>
              <w:rPr>
                <w:sz w:val="16"/>
                <w:szCs w:val="16"/>
              </w:rPr>
            </w:pPr>
            <w:r>
              <w:rPr>
                <w:sz w:val="16"/>
                <w:szCs w:val="16"/>
              </w:rPr>
              <w:t>1240 ± 30</w:t>
            </w:r>
          </w:p>
        </w:tc>
        <w:tc>
          <w:tcPr>
            <w:tcW w:w="1575" w:type="dxa"/>
            <w:tcBorders>
              <w:top w:val="nil"/>
              <w:left w:val="nil"/>
              <w:bottom w:val="nil"/>
              <w:right w:val="nil"/>
            </w:tcBorders>
            <w:tcMar>
              <w:top w:w="40" w:type="dxa"/>
              <w:left w:w="40" w:type="dxa"/>
              <w:bottom w:w="40" w:type="dxa"/>
              <w:right w:w="40" w:type="dxa"/>
            </w:tcMar>
            <w:vAlign w:val="center"/>
          </w:tcPr>
          <w:p w14:paraId="4BCC1D8F" w14:textId="77777777" w:rsidR="00E65594" w:rsidRDefault="00E65594" w:rsidP="00DE5D01">
            <w:pPr>
              <w:widowControl w:val="0"/>
              <w:jc w:val="center"/>
              <w:rPr>
                <w:sz w:val="16"/>
                <w:szCs w:val="16"/>
              </w:rPr>
            </w:pPr>
            <w:r>
              <w:rPr>
                <w:sz w:val="16"/>
                <w:szCs w:val="16"/>
              </w:rPr>
              <w:t>758-880 (55.8%)</w:t>
            </w:r>
          </w:p>
          <w:p w14:paraId="7096E458" w14:textId="77777777" w:rsidR="00E65594" w:rsidRDefault="00E65594" w:rsidP="00DE5D01">
            <w:pPr>
              <w:widowControl w:val="0"/>
              <w:jc w:val="center"/>
              <w:rPr>
                <w:sz w:val="16"/>
                <w:szCs w:val="16"/>
              </w:rPr>
            </w:pPr>
            <w:r>
              <w:rPr>
                <w:sz w:val="16"/>
                <w:szCs w:val="16"/>
              </w:rPr>
              <w:t>679-746 (39.6%)</w:t>
            </w:r>
          </w:p>
        </w:tc>
        <w:tc>
          <w:tcPr>
            <w:tcW w:w="1095" w:type="dxa"/>
            <w:tcBorders>
              <w:top w:val="nil"/>
              <w:left w:val="nil"/>
              <w:bottom w:val="nil"/>
              <w:right w:val="nil"/>
            </w:tcBorders>
            <w:tcMar>
              <w:top w:w="40" w:type="dxa"/>
              <w:left w:w="40" w:type="dxa"/>
              <w:bottom w:w="40" w:type="dxa"/>
              <w:right w:w="40" w:type="dxa"/>
            </w:tcMar>
            <w:vAlign w:val="center"/>
          </w:tcPr>
          <w:p w14:paraId="67C2E54C" w14:textId="77777777" w:rsidR="00E65594" w:rsidRDefault="00E65594" w:rsidP="00DE5D01">
            <w:pPr>
              <w:widowControl w:val="0"/>
              <w:jc w:val="center"/>
              <w:rPr>
                <w:sz w:val="16"/>
                <w:szCs w:val="16"/>
              </w:rPr>
            </w:pPr>
            <w:r>
              <w:rPr>
                <w:sz w:val="16"/>
                <w:szCs w:val="16"/>
              </w:rPr>
              <w:t>695-887</w:t>
            </w:r>
          </w:p>
        </w:tc>
        <w:tc>
          <w:tcPr>
            <w:tcW w:w="1215" w:type="dxa"/>
            <w:tcBorders>
              <w:top w:val="nil"/>
              <w:left w:val="nil"/>
              <w:bottom w:val="nil"/>
              <w:right w:val="nil"/>
            </w:tcBorders>
            <w:tcMar>
              <w:top w:w="40" w:type="dxa"/>
              <w:left w:w="40" w:type="dxa"/>
              <w:bottom w:w="40" w:type="dxa"/>
              <w:right w:w="40" w:type="dxa"/>
            </w:tcMar>
            <w:vAlign w:val="center"/>
          </w:tcPr>
          <w:p w14:paraId="3AE39304" w14:textId="77777777" w:rsidR="00E65594" w:rsidRDefault="00E65594" w:rsidP="00DE5D01">
            <w:pPr>
              <w:widowControl w:val="0"/>
              <w:jc w:val="center"/>
              <w:rPr>
                <w:sz w:val="16"/>
                <w:szCs w:val="16"/>
              </w:rPr>
            </w:pPr>
            <w:r>
              <w:rPr>
                <w:sz w:val="16"/>
                <w:szCs w:val="16"/>
              </w:rPr>
              <w:t>85.7 ± 0.32</w:t>
            </w:r>
          </w:p>
        </w:tc>
        <w:tc>
          <w:tcPr>
            <w:tcW w:w="645" w:type="dxa"/>
            <w:tcBorders>
              <w:top w:val="nil"/>
              <w:left w:val="nil"/>
              <w:bottom w:val="nil"/>
              <w:right w:val="nil"/>
            </w:tcBorders>
            <w:tcMar>
              <w:top w:w="40" w:type="dxa"/>
              <w:left w:w="40" w:type="dxa"/>
              <w:bottom w:w="40" w:type="dxa"/>
              <w:right w:w="40" w:type="dxa"/>
            </w:tcMar>
            <w:vAlign w:val="center"/>
          </w:tcPr>
          <w:p w14:paraId="478BC457" w14:textId="77777777" w:rsidR="00E65594" w:rsidRDefault="00E65594" w:rsidP="00DE5D01">
            <w:pPr>
              <w:widowControl w:val="0"/>
              <w:jc w:val="center"/>
              <w:rPr>
                <w:sz w:val="16"/>
                <w:szCs w:val="16"/>
              </w:rPr>
            </w:pPr>
            <w:r>
              <w:rPr>
                <w:sz w:val="16"/>
                <w:szCs w:val="16"/>
              </w:rPr>
              <w:t>-26.3</w:t>
            </w:r>
          </w:p>
        </w:tc>
        <w:tc>
          <w:tcPr>
            <w:tcW w:w="555" w:type="dxa"/>
            <w:tcBorders>
              <w:top w:val="nil"/>
              <w:left w:val="nil"/>
              <w:bottom w:val="nil"/>
              <w:right w:val="nil"/>
            </w:tcBorders>
            <w:tcMar>
              <w:top w:w="40" w:type="dxa"/>
              <w:left w:w="40" w:type="dxa"/>
              <w:bottom w:w="40" w:type="dxa"/>
              <w:right w:w="40" w:type="dxa"/>
            </w:tcMar>
            <w:vAlign w:val="center"/>
          </w:tcPr>
          <w:p w14:paraId="57F806CF" w14:textId="77777777" w:rsidR="00E65594" w:rsidRDefault="00E65594" w:rsidP="00DE5D01">
            <w:pPr>
              <w:widowControl w:val="0"/>
              <w:jc w:val="center"/>
              <w:rPr>
                <w:sz w:val="16"/>
                <w:szCs w:val="16"/>
              </w:rPr>
            </w:pPr>
            <w:r>
              <w:rPr>
                <w:sz w:val="16"/>
                <w:szCs w:val="16"/>
              </w:rPr>
              <w:t>-</w:t>
            </w:r>
          </w:p>
        </w:tc>
      </w:tr>
      <w:tr w:rsidR="00E65594" w14:paraId="2F49BC1F" w14:textId="77777777" w:rsidTr="00DE5D01">
        <w:trPr>
          <w:trHeight w:val="315"/>
        </w:trPr>
        <w:tc>
          <w:tcPr>
            <w:tcW w:w="645" w:type="dxa"/>
            <w:tcBorders>
              <w:top w:val="nil"/>
              <w:left w:val="nil"/>
              <w:bottom w:val="nil"/>
              <w:right w:val="nil"/>
            </w:tcBorders>
            <w:tcMar>
              <w:top w:w="40" w:type="dxa"/>
              <w:left w:w="40" w:type="dxa"/>
              <w:bottom w:w="40" w:type="dxa"/>
              <w:right w:w="40" w:type="dxa"/>
            </w:tcMar>
            <w:vAlign w:val="center"/>
          </w:tcPr>
          <w:p w14:paraId="27EC4BA8" w14:textId="77777777" w:rsidR="00E65594" w:rsidRDefault="00E65594" w:rsidP="00DE5D01">
            <w:pPr>
              <w:widowControl w:val="0"/>
              <w:jc w:val="center"/>
              <w:rPr>
                <w:sz w:val="16"/>
                <w:szCs w:val="16"/>
              </w:rPr>
            </w:pPr>
            <w:r>
              <w:rPr>
                <w:sz w:val="16"/>
                <w:szCs w:val="16"/>
              </w:rPr>
              <w:t>R18</w:t>
            </w:r>
          </w:p>
        </w:tc>
        <w:tc>
          <w:tcPr>
            <w:tcW w:w="705" w:type="dxa"/>
            <w:tcBorders>
              <w:top w:val="nil"/>
              <w:left w:val="nil"/>
              <w:bottom w:val="nil"/>
              <w:right w:val="nil"/>
            </w:tcBorders>
            <w:tcMar>
              <w:top w:w="40" w:type="dxa"/>
              <w:left w:w="40" w:type="dxa"/>
              <w:bottom w:w="40" w:type="dxa"/>
              <w:right w:w="40" w:type="dxa"/>
            </w:tcMar>
            <w:vAlign w:val="center"/>
          </w:tcPr>
          <w:p w14:paraId="2F1F33D0" w14:textId="77777777" w:rsidR="00E65594" w:rsidRDefault="00E65594" w:rsidP="00DE5D01">
            <w:pPr>
              <w:widowControl w:val="0"/>
              <w:jc w:val="center"/>
              <w:rPr>
                <w:sz w:val="16"/>
                <w:szCs w:val="16"/>
              </w:rPr>
            </w:pPr>
            <w:proofErr w:type="spellStart"/>
            <w:r>
              <w:rPr>
                <w:sz w:val="16"/>
                <w:szCs w:val="16"/>
              </w:rPr>
              <w:t>Agsu</w:t>
            </w:r>
            <w:proofErr w:type="spellEnd"/>
            <w:r>
              <w:rPr>
                <w:sz w:val="16"/>
                <w:szCs w:val="16"/>
              </w:rPr>
              <w:t xml:space="preserve"> T1</w:t>
            </w:r>
          </w:p>
        </w:tc>
        <w:tc>
          <w:tcPr>
            <w:tcW w:w="375" w:type="dxa"/>
            <w:tcBorders>
              <w:top w:val="nil"/>
              <w:left w:val="nil"/>
              <w:bottom w:val="nil"/>
              <w:right w:val="nil"/>
            </w:tcBorders>
            <w:tcMar>
              <w:top w:w="40" w:type="dxa"/>
              <w:left w:w="40" w:type="dxa"/>
              <w:bottom w:w="40" w:type="dxa"/>
              <w:right w:w="40" w:type="dxa"/>
            </w:tcMar>
            <w:vAlign w:val="center"/>
          </w:tcPr>
          <w:p w14:paraId="5B138CDA" w14:textId="77777777" w:rsidR="00E65594" w:rsidRDefault="00E65594" w:rsidP="00DE5D01">
            <w:pPr>
              <w:widowControl w:val="0"/>
              <w:jc w:val="center"/>
              <w:rPr>
                <w:sz w:val="16"/>
                <w:szCs w:val="16"/>
              </w:rPr>
            </w:pPr>
            <w:r>
              <w:rPr>
                <w:sz w:val="16"/>
                <w:szCs w:val="16"/>
              </w:rPr>
              <w:t>U5</w:t>
            </w:r>
          </w:p>
        </w:tc>
        <w:tc>
          <w:tcPr>
            <w:tcW w:w="600" w:type="dxa"/>
            <w:tcBorders>
              <w:top w:val="nil"/>
              <w:left w:val="nil"/>
              <w:bottom w:val="nil"/>
              <w:right w:val="nil"/>
            </w:tcBorders>
            <w:tcMar>
              <w:top w:w="40" w:type="dxa"/>
              <w:left w:w="40" w:type="dxa"/>
              <w:bottom w:w="40" w:type="dxa"/>
              <w:right w:w="40" w:type="dxa"/>
            </w:tcMar>
            <w:vAlign w:val="center"/>
          </w:tcPr>
          <w:p w14:paraId="180F5C51" w14:textId="77777777" w:rsidR="00E65594" w:rsidRDefault="00E65594" w:rsidP="00DE5D01">
            <w:pPr>
              <w:widowControl w:val="0"/>
              <w:jc w:val="center"/>
              <w:rPr>
                <w:sz w:val="16"/>
                <w:szCs w:val="16"/>
              </w:rPr>
            </w:pPr>
            <w:r>
              <w:rPr>
                <w:sz w:val="16"/>
                <w:szCs w:val="16"/>
              </w:rPr>
              <w:t>40.572</w:t>
            </w:r>
          </w:p>
        </w:tc>
        <w:tc>
          <w:tcPr>
            <w:tcW w:w="645" w:type="dxa"/>
            <w:tcBorders>
              <w:top w:val="nil"/>
              <w:left w:val="nil"/>
              <w:bottom w:val="nil"/>
              <w:right w:val="nil"/>
            </w:tcBorders>
            <w:shd w:val="clear" w:color="auto" w:fill="FFFFFF"/>
            <w:tcMar>
              <w:top w:w="40" w:type="dxa"/>
              <w:left w:w="40" w:type="dxa"/>
              <w:bottom w:w="40" w:type="dxa"/>
              <w:right w:w="40" w:type="dxa"/>
            </w:tcMar>
            <w:vAlign w:val="center"/>
          </w:tcPr>
          <w:p w14:paraId="20555017" w14:textId="77777777" w:rsidR="00E65594" w:rsidRDefault="00E65594" w:rsidP="00DE5D01">
            <w:pPr>
              <w:widowControl w:val="0"/>
              <w:jc w:val="center"/>
              <w:rPr>
                <w:sz w:val="16"/>
                <w:szCs w:val="16"/>
              </w:rPr>
            </w:pPr>
            <w:r>
              <w:rPr>
                <w:rFonts w:ascii="Roboto" w:eastAsia="Roboto" w:hAnsi="Roboto" w:cs="Roboto"/>
                <w:sz w:val="16"/>
                <w:szCs w:val="16"/>
              </w:rPr>
              <w:t>48.427</w:t>
            </w:r>
          </w:p>
        </w:tc>
        <w:tc>
          <w:tcPr>
            <w:tcW w:w="1035" w:type="dxa"/>
            <w:tcBorders>
              <w:top w:val="nil"/>
              <w:left w:val="nil"/>
              <w:bottom w:val="nil"/>
              <w:right w:val="nil"/>
            </w:tcBorders>
            <w:tcMar>
              <w:top w:w="40" w:type="dxa"/>
              <w:left w:w="40" w:type="dxa"/>
              <w:bottom w:w="40" w:type="dxa"/>
              <w:right w:w="40" w:type="dxa"/>
            </w:tcMar>
            <w:vAlign w:val="center"/>
          </w:tcPr>
          <w:p w14:paraId="03EE52D5" w14:textId="77777777" w:rsidR="00E65594" w:rsidRDefault="00E65594" w:rsidP="00DE5D01">
            <w:pPr>
              <w:widowControl w:val="0"/>
              <w:jc w:val="center"/>
              <w:rPr>
                <w:sz w:val="16"/>
                <w:szCs w:val="16"/>
              </w:rPr>
            </w:pPr>
            <w:r>
              <w:rPr>
                <w:sz w:val="16"/>
                <w:szCs w:val="16"/>
              </w:rPr>
              <w:t>Plastic candy wrapper</w:t>
            </w:r>
          </w:p>
        </w:tc>
        <w:tc>
          <w:tcPr>
            <w:tcW w:w="1005" w:type="dxa"/>
            <w:tcBorders>
              <w:top w:val="nil"/>
              <w:left w:val="nil"/>
              <w:bottom w:val="nil"/>
              <w:right w:val="nil"/>
            </w:tcBorders>
            <w:tcMar>
              <w:top w:w="40" w:type="dxa"/>
              <w:left w:w="40" w:type="dxa"/>
              <w:bottom w:w="40" w:type="dxa"/>
              <w:right w:w="40" w:type="dxa"/>
            </w:tcMar>
            <w:vAlign w:val="center"/>
          </w:tcPr>
          <w:p w14:paraId="68EC6C00" w14:textId="77777777" w:rsidR="00E65594" w:rsidRDefault="00E65594" w:rsidP="00DE5D01">
            <w:pPr>
              <w:widowControl w:val="0"/>
              <w:jc w:val="center"/>
              <w:rPr>
                <w:sz w:val="16"/>
                <w:szCs w:val="16"/>
              </w:rPr>
            </w:pPr>
            <w:r>
              <w:rPr>
                <w:sz w:val="16"/>
                <w:szCs w:val="16"/>
              </w:rPr>
              <w:t>-</w:t>
            </w:r>
          </w:p>
        </w:tc>
        <w:tc>
          <w:tcPr>
            <w:tcW w:w="1575" w:type="dxa"/>
            <w:tcBorders>
              <w:top w:val="nil"/>
              <w:left w:val="nil"/>
              <w:bottom w:val="nil"/>
              <w:right w:val="nil"/>
            </w:tcBorders>
            <w:tcMar>
              <w:top w:w="40" w:type="dxa"/>
              <w:left w:w="40" w:type="dxa"/>
              <w:bottom w:w="40" w:type="dxa"/>
              <w:right w:w="40" w:type="dxa"/>
            </w:tcMar>
            <w:vAlign w:val="center"/>
          </w:tcPr>
          <w:p w14:paraId="50F825CC" w14:textId="77777777" w:rsidR="00E65594" w:rsidRDefault="00E65594" w:rsidP="00DE5D01">
            <w:pPr>
              <w:widowControl w:val="0"/>
              <w:jc w:val="center"/>
              <w:rPr>
                <w:sz w:val="16"/>
                <w:szCs w:val="16"/>
              </w:rPr>
            </w:pPr>
            <w:r>
              <w:rPr>
                <w:sz w:val="16"/>
                <w:szCs w:val="16"/>
              </w:rPr>
              <w:t>-</w:t>
            </w:r>
          </w:p>
        </w:tc>
        <w:tc>
          <w:tcPr>
            <w:tcW w:w="1095" w:type="dxa"/>
            <w:tcBorders>
              <w:top w:val="nil"/>
              <w:left w:val="nil"/>
              <w:bottom w:val="nil"/>
              <w:right w:val="nil"/>
            </w:tcBorders>
            <w:tcMar>
              <w:top w:w="40" w:type="dxa"/>
              <w:left w:w="40" w:type="dxa"/>
              <w:bottom w:w="40" w:type="dxa"/>
              <w:right w:w="40" w:type="dxa"/>
            </w:tcMar>
            <w:vAlign w:val="center"/>
          </w:tcPr>
          <w:p w14:paraId="5ACEEF3B" w14:textId="77777777" w:rsidR="00E65594" w:rsidRDefault="00E65594" w:rsidP="00DE5D01">
            <w:pPr>
              <w:widowControl w:val="0"/>
              <w:jc w:val="center"/>
              <w:rPr>
                <w:sz w:val="16"/>
                <w:szCs w:val="16"/>
              </w:rPr>
            </w:pPr>
            <w:r>
              <w:rPr>
                <w:sz w:val="16"/>
                <w:szCs w:val="16"/>
              </w:rPr>
              <w:t>1985-2006</w:t>
            </w:r>
          </w:p>
        </w:tc>
        <w:tc>
          <w:tcPr>
            <w:tcW w:w="1215" w:type="dxa"/>
            <w:tcBorders>
              <w:top w:val="nil"/>
              <w:left w:val="nil"/>
              <w:bottom w:val="nil"/>
              <w:right w:val="nil"/>
            </w:tcBorders>
            <w:tcMar>
              <w:top w:w="40" w:type="dxa"/>
              <w:left w:w="40" w:type="dxa"/>
              <w:bottom w:w="40" w:type="dxa"/>
              <w:right w:w="40" w:type="dxa"/>
            </w:tcMar>
            <w:vAlign w:val="center"/>
          </w:tcPr>
          <w:p w14:paraId="4FBC8865" w14:textId="77777777" w:rsidR="00E65594" w:rsidRDefault="00E65594" w:rsidP="00DE5D01">
            <w:pPr>
              <w:widowControl w:val="0"/>
              <w:jc w:val="center"/>
              <w:rPr>
                <w:sz w:val="16"/>
                <w:szCs w:val="16"/>
              </w:rPr>
            </w:pPr>
            <w:r>
              <w:rPr>
                <w:sz w:val="16"/>
                <w:szCs w:val="16"/>
              </w:rPr>
              <w:t>-</w:t>
            </w:r>
          </w:p>
        </w:tc>
        <w:tc>
          <w:tcPr>
            <w:tcW w:w="645" w:type="dxa"/>
            <w:tcBorders>
              <w:top w:val="nil"/>
              <w:left w:val="nil"/>
              <w:bottom w:val="nil"/>
              <w:right w:val="nil"/>
            </w:tcBorders>
            <w:tcMar>
              <w:top w:w="40" w:type="dxa"/>
              <w:left w:w="40" w:type="dxa"/>
              <w:bottom w:w="40" w:type="dxa"/>
              <w:right w:w="40" w:type="dxa"/>
            </w:tcMar>
            <w:vAlign w:val="center"/>
          </w:tcPr>
          <w:p w14:paraId="0EC95BFE" w14:textId="77777777" w:rsidR="00E65594" w:rsidRDefault="00E65594" w:rsidP="00DE5D01">
            <w:pPr>
              <w:widowControl w:val="0"/>
              <w:jc w:val="center"/>
              <w:rPr>
                <w:sz w:val="16"/>
                <w:szCs w:val="16"/>
              </w:rPr>
            </w:pPr>
            <w:r>
              <w:rPr>
                <w:sz w:val="16"/>
                <w:szCs w:val="16"/>
              </w:rPr>
              <w:t>-</w:t>
            </w:r>
          </w:p>
        </w:tc>
        <w:tc>
          <w:tcPr>
            <w:tcW w:w="555" w:type="dxa"/>
            <w:tcBorders>
              <w:top w:val="nil"/>
              <w:left w:val="nil"/>
              <w:bottom w:val="nil"/>
              <w:right w:val="nil"/>
            </w:tcBorders>
            <w:tcMar>
              <w:top w:w="40" w:type="dxa"/>
              <w:left w:w="40" w:type="dxa"/>
              <w:bottom w:w="40" w:type="dxa"/>
              <w:right w:w="40" w:type="dxa"/>
            </w:tcMar>
            <w:vAlign w:val="center"/>
          </w:tcPr>
          <w:p w14:paraId="5DDAD5D2" w14:textId="77777777" w:rsidR="00E65594" w:rsidRDefault="00E65594" w:rsidP="00DE5D01">
            <w:pPr>
              <w:widowControl w:val="0"/>
              <w:jc w:val="center"/>
              <w:rPr>
                <w:sz w:val="16"/>
                <w:szCs w:val="16"/>
              </w:rPr>
            </w:pPr>
            <w:r>
              <w:rPr>
                <w:sz w:val="16"/>
                <w:szCs w:val="16"/>
              </w:rPr>
              <w:t>-</w:t>
            </w:r>
          </w:p>
        </w:tc>
      </w:tr>
      <w:tr w:rsidR="00E65594" w14:paraId="38C5993C" w14:textId="77777777" w:rsidTr="00DE5D01">
        <w:trPr>
          <w:trHeight w:val="330"/>
        </w:trPr>
        <w:tc>
          <w:tcPr>
            <w:tcW w:w="645" w:type="dxa"/>
            <w:tcBorders>
              <w:top w:val="nil"/>
              <w:left w:val="nil"/>
              <w:bottom w:val="nil"/>
              <w:right w:val="nil"/>
            </w:tcBorders>
            <w:tcMar>
              <w:top w:w="40" w:type="dxa"/>
              <w:left w:w="40" w:type="dxa"/>
              <w:bottom w:w="40" w:type="dxa"/>
              <w:right w:w="40" w:type="dxa"/>
            </w:tcMar>
            <w:vAlign w:val="center"/>
          </w:tcPr>
          <w:p w14:paraId="3AC2BB24" w14:textId="77777777" w:rsidR="00E65594" w:rsidRDefault="00E65594" w:rsidP="00DE5D01">
            <w:pPr>
              <w:widowControl w:val="0"/>
              <w:jc w:val="center"/>
              <w:rPr>
                <w:sz w:val="16"/>
                <w:szCs w:val="16"/>
              </w:rPr>
            </w:pPr>
            <w:r>
              <w:rPr>
                <w:sz w:val="16"/>
                <w:szCs w:val="16"/>
              </w:rPr>
              <w:t>R24</w:t>
            </w:r>
          </w:p>
        </w:tc>
        <w:tc>
          <w:tcPr>
            <w:tcW w:w="705" w:type="dxa"/>
            <w:tcBorders>
              <w:top w:val="nil"/>
              <w:left w:val="nil"/>
              <w:bottom w:val="nil"/>
              <w:right w:val="nil"/>
            </w:tcBorders>
            <w:tcMar>
              <w:top w:w="40" w:type="dxa"/>
              <w:left w:w="40" w:type="dxa"/>
              <w:bottom w:w="40" w:type="dxa"/>
              <w:right w:w="40" w:type="dxa"/>
            </w:tcMar>
            <w:vAlign w:val="center"/>
          </w:tcPr>
          <w:p w14:paraId="5B9231AA" w14:textId="77777777" w:rsidR="00E65594" w:rsidRDefault="00E65594" w:rsidP="00DE5D01">
            <w:pPr>
              <w:widowControl w:val="0"/>
              <w:jc w:val="center"/>
              <w:rPr>
                <w:sz w:val="16"/>
                <w:szCs w:val="16"/>
              </w:rPr>
            </w:pPr>
            <w:proofErr w:type="spellStart"/>
            <w:r>
              <w:rPr>
                <w:sz w:val="16"/>
                <w:szCs w:val="16"/>
              </w:rPr>
              <w:t>Agsu</w:t>
            </w:r>
            <w:proofErr w:type="spellEnd"/>
            <w:r>
              <w:rPr>
                <w:sz w:val="16"/>
                <w:szCs w:val="16"/>
              </w:rPr>
              <w:t xml:space="preserve"> T1</w:t>
            </w:r>
          </w:p>
        </w:tc>
        <w:tc>
          <w:tcPr>
            <w:tcW w:w="375" w:type="dxa"/>
            <w:tcBorders>
              <w:top w:val="nil"/>
              <w:left w:val="nil"/>
              <w:bottom w:val="nil"/>
              <w:right w:val="nil"/>
            </w:tcBorders>
            <w:tcMar>
              <w:top w:w="40" w:type="dxa"/>
              <w:left w:w="40" w:type="dxa"/>
              <w:bottom w:w="40" w:type="dxa"/>
              <w:right w:w="40" w:type="dxa"/>
            </w:tcMar>
            <w:vAlign w:val="center"/>
          </w:tcPr>
          <w:p w14:paraId="12881B94" w14:textId="77777777" w:rsidR="00E65594" w:rsidRDefault="00E65594" w:rsidP="00DE5D01">
            <w:pPr>
              <w:widowControl w:val="0"/>
              <w:jc w:val="center"/>
              <w:rPr>
                <w:sz w:val="16"/>
                <w:szCs w:val="16"/>
              </w:rPr>
            </w:pPr>
            <w:r>
              <w:rPr>
                <w:sz w:val="16"/>
                <w:szCs w:val="16"/>
              </w:rPr>
              <w:t>U2</w:t>
            </w:r>
          </w:p>
        </w:tc>
        <w:tc>
          <w:tcPr>
            <w:tcW w:w="600" w:type="dxa"/>
            <w:tcBorders>
              <w:top w:val="nil"/>
              <w:left w:val="nil"/>
              <w:bottom w:val="nil"/>
              <w:right w:val="nil"/>
            </w:tcBorders>
            <w:tcMar>
              <w:top w:w="40" w:type="dxa"/>
              <w:left w:w="40" w:type="dxa"/>
              <w:bottom w:w="40" w:type="dxa"/>
              <w:right w:w="40" w:type="dxa"/>
            </w:tcMar>
            <w:vAlign w:val="center"/>
          </w:tcPr>
          <w:p w14:paraId="0A96C7EC" w14:textId="77777777" w:rsidR="00E65594" w:rsidRDefault="00E65594" w:rsidP="00DE5D01">
            <w:pPr>
              <w:widowControl w:val="0"/>
              <w:jc w:val="center"/>
              <w:rPr>
                <w:sz w:val="16"/>
                <w:szCs w:val="16"/>
              </w:rPr>
            </w:pPr>
            <w:r>
              <w:rPr>
                <w:sz w:val="16"/>
                <w:szCs w:val="16"/>
              </w:rPr>
              <w:t>40.572</w:t>
            </w:r>
          </w:p>
        </w:tc>
        <w:tc>
          <w:tcPr>
            <w:tcW w:w="645" w:type="dxa"/>
            <w:tcBorders>
              <w:top w:val="nil"/>
              <w:left w:val="nil"/>
              <w:bottom w:val="nil"/>
              <w:right w:val="nil"/>
            </w:tcBorders>
            <w:shd w:val="clear" w:color="auto" w:fill="FFFFFF"/>
            <w:tcMar>
              <w:top w:w="40" w:type="dxa"/>
              <w:left w:w="40" w:type="dxa"/>
              <w:bottom w:w="40" w:type="dxa"/>
              <w:right w:w="40" w:type="dxa"/>
            </w:tcMar>
            <w:vAlign w:val="center"/>
          </w:tcPr>
          <w:p w14:paraId="55806354" w14:textId="77777777" w:rsidR="00E65594" w:rsidRDefault="00E65594" w:rsidP="00DE5D01">
            <w:pPr>
              <w:widowControl w:val="0"/>
              <w:jc w:val="center"/>
              <w:rPr>
                <w:sz w:val="16"/>
                <w:szCs w:val="16"/>
              </w:rPr>
            </w:pPr>
            <w:r>
              <w:rPr>
                <w:rFonts w:ascii="Roboto" w:eastAsia="Roboto" w:hAnsi="Roboto" w:cs="Roboto"/>
                <w:sz w:val="16"/>
                <w:szCs w:val="16"/>
              </w:rPr>
              <w:t>48.427</w:t>
            </w:r>
          </w:p>
        </w:tc>
        <w:tc>
          <w:tcPr>
            <w:tcW w:w="1035" w:type="dxa"/>
            <w:tcBorders>
              <w:top w:val="nil"/>
              <w:left w:val="nil"/>
              <w:bottom w:val="nil"/>
              <w:right w:val="nil"/>
            </w:tcBorders>
            <w:tcMar>
              <w:top w:w="40" w:type="dxa"/>
              <w:left w:w="40" w:type="dxa"/>
              <w:bottom w:w="40" w:type="dxa"/>
              <w:right w:w="40" w:type="dxa"/>
            </w:tcMar>
            <w:vAlign w:val="center"/>
          </w:tcPr>
          <w:p w14:paraId="396F6901" w14:textId="77777777" w:rsidR="00E65594" w:rsidRDefault="00E65594" w:rsidP="00DE5D01">
            <w:pPr>
              <w:widowControl w:val="0"/>
              <w:jc w:val="center"/>
              <w:rPr>
                <w:sz w:val="16"/>
                <w:szCs w:val="16"/>
              </w:rPr>
            </w:pPr>
            <w:r>
              <w:rPr>
                <w:sz w:val="16"/>
                <w:szCs w:val="16"/>
              </w:rPr>
              <w:t>Charcoal</w:t>
            </w:r>
          </w:p>
        </w:tc>
        <w:tc>
          <w:tcPr>
            <w:tcW w:w="1005" w:type="dxa"/>
            <w:tcBorders>
              <w:top w:val="nil"/>
              <w:left w:val="nil"/>
              <w:bottom w:val="nil"/>
              <w:right w:val="nil"/>
            </w:tcBorders>
            <w:tcMar>
              <w:top w:w="40" w:type="dxa"/>
              <w:left w:w="40" w:type="dxa"/>
              <w:bottom w:w="40" w:type="dxa"/>
              <w:right w:w="40" w:type="dxa"/>
            </w:tcMar>
            <w:vAlign w:val="center"/>
          </w:tcPr>
          <w:p w14:paraId="021C1CE4" w14:textId="77777777" w:rsidR="00E65594" w:rsidRDefault="00E65594" w:rsidP="00DE5D01">
            <w:pPr>
              <w:widowControl w:val="0"/>
              <w:jc w:val="center"/>
              <w:rPr>
                <w:sz w:val="16"/>
                <w:szCs w:val="16"/>
              </w:rPr>
            </w:pPr>
            <w:r>
              <w:rPr>
                <w:sz w:val="16"/>
                <w:szCs w:val="16"/>
              </w:rPr>
              <w:t>70 ± 30</w:t>
            </w:r>
          </w:p>
        </w:tc>
        <w:tc>
          <w:tcPr>
            <w:tcW w:w="1575" w:type="dxa"/>
            <w:tcBorders>
              <w:top w:val="nil"/>
              <w:left w:val="nil"/>
              <w:bottom w:val="nil"/>
              <w:right w:val="nil"/>
            </w:tcBorders>
            <w:tcMar>
              <w:top w:w="40" w:type="dxa"/>
              <w:left w:w="40" w:type="dxa"/>
              <w:bottom w:w="40" w:type="dxa"/>
              <w:right w:w="40" w:type="dxa"/>
            </w:tcMar>
            <w:vAlign w:val="center"/>
          </w:tcPr>
          <w:p w14:paraId="0B8CFBEC" w14:textId="77777777" w:rsidR="00E65594" w:rsidRDefault="00E65594" w:rsidP="00DE5D01">
            <w:pPr>
              <w:widowControl w:val="0"/>
              <w:jc w:val="center"/>
              <w:rPr>
                <w:sz w:val="16"/>
                <w:szCs w:val="16"/>
              </w:rPr>
            </w:pPr>
            <w:r>
              <w:rPr>
                <w:sz w:val="16"/>
                <w:szCs w:val="16"/>
              </w:rPr>
              <w:t>1810-1919 (68.7%)</w:t>
            </w:r>
          </w:p>
          <w:p w14:paraId="3AA93CD7" w14:textId="77777777" w:rsidR="00E65594" w:rsidRDefault="00E65594" w:rsidP="00DE5D01">
            <w:pPr>
              <w:widowControl w:val="0"/>
              <w:jc w:val="center"/>
              <w:rPr>
                <w:sz w:val="16"/>
                <w:szCs w:val="16"/>
              </w:rPr>
            </w:pPr>
            <w:r>
              <w:rPr>
                <w:sz w:val="16"/>
                <w:szCs w:val="16"/>
              </w:rPr>
              <w:t>1692-1727 (26.7%)</w:t>
            </w:r>
          </w:p>
        </w:tc>
        <w:tc>
          <w:tcPr>
            <w:tcW w:w="1095" w:type="dxa"/>
            <w:tcBorders>
              <w:top w:val="nil"/>
              <w:left w:val="nil"/>
              <w:bottom w:val="nil"/>
              <w:right w:val="nil"/>
            </w:tcBorders>
            <w:tcMar>
              <w:top w:w="40" w:type="dxa"/>
              <w:left w:w="40" w:type="dxa"/>
              <w:bottom w:w="40" w:type="dxa"/>
              <w:right w:w="40" w:type="dxa"/>
            </w:tcMar>
            <w:vAlign w:val="center"/>
          </w:tcPr>
          <w:p w14:paraId="098FE61B" w14:textId="77777777" w:rsidR="00E65594" w:rsidRDefault="00E65594" w:rsidP="00DE5D01">
            <w:pPr>
              <w:widowControl w:val="0"/>
              <w:jc w:val="center"/>
              <w:rPr>
                <w:sz w:val="16"/>
                <w:szCs w:val="16"/>
              </w:rPr>
            </w:pPr>
            <w:r>
              <w:rPr>
                <w:sz w:val="16"/>
                <w:szCs w:val="16"/>
              </w:rPr>
              <w:t>1683-1853</w:t>
            </w:r>
          </w:p>
        </w:tc>
        <w:tc>
          <w:tcPr>
            <w:tcW w:w="1215" w:type="dxa"/>
            <w:tcBorders>
              <w:top w:val="nil"/>
              <w:left w:val="nil"/>
              <w:bottom w:val="nil"/>
              <w:right w:val="nil"/>
            </w:tcBorders>
            <w:tcMar>
              <w:top w:w="40" w:type="dxa"/>
              <w:left w:w="40" w:type="dxa"/>
              <w:bottom w:w="40" w:type="dxa"/>
              <w:right w:w="40" w:type="dxa"/>
            </w:tcMar>
            <w:vAlign w:val="center"/>
          </w:tcPr>
          <w:p w14:paraId="707B547A" w14:textId="77777777" w:rsidR="00E65594" w:rsidRDefault="00E65594" w:rsidP="00DE5D01">
            <w:pPr>
              <w:widowControl w:val="0"/>
              <w:jc w:val="center"/>
              <w:rPr>
                <w:sz w:val="16"/>
                <w:szCs w:val="16"/>
              </w:rPr>
            </w:pPr>
            <w:r>
              <w:rPr>
                <w:sz w:val="16"/>
                <w:szCs w:val="16"/>
              </w:rPr>
              <w:t>99.13 ± 0.37</w:t>
            </w:r>
          </w:p>
        </w:tc>
        <w:tc>
          <w:tcPr>
            <w:tcW w:w="645" w:type="dxa"/>
            <w:tcBorders>
              <w:top w:val="nil"/>
              <w:left w:val="nil"/>
              <w:bottom w:val="nil"/>
              <w:right w:val="nil"/>
            </w:tcBorders>
            <w:tcMar>
              <w:top w:w="40" w:type="dxa"/>
              <w:left w:w="40" w:type="dxa"/>
              <w:bottom w:w="40" w:type="dxa"/>
              <w:right w:w="40" w:type="dxa"/>
            </w:tcMar>
            <w:vAlign w:val="center"/>
          </w:tcPr>
          <w:p w14:paraId="4664AEC7" w14:textId="77777777" w:rsidR="00E65594" w:rsidRDefault="00E65594" w:rsidP="00DE5D01">
            <w:pPr>
              <w:widowControl w:val="0"/>
              <w:jc w:val="center"/>
              <w:rPr>
                <w:sz w:val="16"/>
                <w:szCs w:val="16"/>
              </w:rPr>
            </w:pPr>
            <w:r>
              <w:rPr>
                <w:sz w:val="16"/>
                <w:szCs w:val="16"/>
              </w:rPr>
              <w:t>-23.5</w:t>
            </w:r>
          </w:p>
        </w:tc>
        <w:tc>
          <w:tcPr>
            <w:tcW w:w="555" w:type="dxa"/>
            <w:tcBorders>
              <w:top w:val="nil"/>
              <w:left w:val="nil"/>
              <w:bottom w:val="nil"/>
              <w:right w:val="nil"/>
            </w:tcBorders>
            <w:tcMar>
              <w:top w:w="40" w:type="dxa"/>
              <w:left w:w="40" w:type="dxa"/>
              <w:bottom w:w="40" w:type="dxa"/>
              <w:right w:w="40" w:type="dxa"/>
            </w:tcMar>
            <w:vAlign w:val="center"/>
          </w:tcPr>
          <w:p w14:paraId="1F91D5D9" w14:textId="77777777" w:rsidR="00E65594" w:rsidRDefault="00E65594" w:rsidP="00DE5D01">
            <w:pPr>
              <w:widowControl w:val="0"/>
              <w:jc w:val="center"/>
              <w:rPr>
                <w:sz w:val="16"/>
                <w:szCs w:val="16"/>
              </w:rPr>
            </w:pPr>
            <w:r>
              <w:rPr>
                <w:sz w:val="16"/>
                <w:szCs w:val="16"/>
              </w:rPr>
              <w:t>-</w:t>
            </w:r>
          </w:p>
        </w:tc>
      </w:tr>
      <w:tr w:rsidR="00E65594" w14:paraId="5F2CE79D" w14:textId="77777777" w:rsidTr="00DE5D01">
        <w:trPr>
          <w:trHeight w:val="315"/>
        </w:trPr>
        <w:tc>
          <w:tcPr>
            <w:tcW w:w="645" w:type="dxa"/>
            <w:tcBorders>
              <w:top w:val="nil"/>
              <w:left w:val="nil"/>
              <w:bottom w:val="nil"/>
              <w:right w:val="nil"/>
            </w:tcBorders>
            <w:tcMar>
              <w:top w:w="40" w:type="dxa"/>
              <w:left w:w="40" w:type="dxa"/>
              <w:bottom w:w="40" w:type="dxa"/>
              <w:right w:w="40" w:type="dxa"/>
            </w:tcMar>
            <w:vAlign w:val="center"/>
          </w:tcPr>
          <w:p w14:paraId="0F945D81" w14:textId="77777777" w:rsidR="00E65594" w:rsidRDefault="00E65594" w:rsidP="00DE5D01">
            <w:pPr>
              <w:widowControl w:val="0"/>
              <w:jc w:val="center"/>
              <w:rPr>
                <w:sz w:val="16"/>
                <w:szCs w:val="16"/>
              </w:rPr>
            </w:pPr>
            <w:r>
              <w:rPr>
                <w:sz w:val="16"/>
                <w:szCs w:val="16"/>
              </w:rPr>
              <w:t>R25</w:t>
            </w:r>
          </w:p>
        </w:tc>
        <w:tc>
          <w:tcPr>
            <w:tcW w:w="705" w:type="dxa"/>
            <w:tcBorders>
              <w:top w:val="nil"/>
              <w:left w:val="nil"/>
              <w:bottom w:val="nil"/>
              <w:right w:val="nil"/>
            </w:tcBorders>
            <w:tcMar>
              <w:top w:w="40" w:type="dxa"/>
              <w:left w:w="40" w:type="dxa"/>
              <w:bottom w:w="40" w:type="dxa"/>
              <w:right w:w="40" w:type="dxa"/>
            </w:tcMar>
            <w:vAlign w:val="center"/>
          </w:tcPr>
          <w:p w14:paraId="49D3D503" w14:textId="77777777" w:rsidR="00E65594" w:rsidRDefault="00E65594" w:rsidP="00DE5D01">
            <w:pPr>
              <w:widowControl w:val="0"/>
              <w:jc w:val="center"/>
              <w:rPr>
                <w:sz w:val="16"/>
                <w:szCs w:val="16"/>
              </w:rPr>
            </w:pPr>
            <w:proofErr w:type="spellStart"/>
            <w:r>
              <w:rPr>
                <w:sz w:val="16"/>
                <w:szCs w:val="16"/>
              </w:rPr>
              <w:t>Agsu</w:t>
            </w:r>
            <w:proofErr w:type="spellEnd"/>
            <w:r>
              <w:rPr>
                <w:sz w:val="16"/>
                <w:szCs w:val="16"/>
              </w:rPr>
              <w:t xml:space="preserve"> T1</w:t>
            </w:r>
          </w:p>
        </w:tc>
        <w:tc>
          <w:tcPr>
            <w:tcW w:w="375" w:type="dxa"/>
            <w:tcBorders>
              <w:top w:val="nil"/>
              <w:left w:val="nil"/>
              <w:bottom w:val="nil"/>
              <w:right w:val="nil"/>
            </w:tcBorders>
            <w:tcMar>
              <w:top w:w="40" w:type="dxa"/>
              <w:left w:w="40" w:type="dxa"/>
              <w:bottom w:w="40" w:type="dxa"/>
              <w:right w:w="40" w:type="dxa"/>
            </w:tcMar>
            <w:vAlign w:val="center"/>
          </w:tcPr>
          <w:p w14:paraId="5E9FA1F0" w14:textId="77777777" w:rsidR="00E65594" w:rsidRDefault="00E65594" w:rsidP="00DE5D01">
            <w:pPr>
              <w:widowControl w:val="0"/>
              <w:jc w:val="center"/>
              <w:rPr>
                <w:sz w:val="16"/>
                <w:szCs w:val="16"/>
              </w:rPr>
            </w:pPr>
            <w:r>
              <w:rPr>
                <w:sz w:val="16"/>
                <w:szCs w:val="16"/>
              </w:rPr>
              <w:t>U2</w:t>
            </w:r>
          </w:p>
        </w:tc>
        <w:tc>
          <w:tcPr>
            <w:tcW w:w="600" w:type="dxa"/>
            <w:tcBorders>
              <w:top w:val="nil"/>
              <w:left w:val="nil"/>
              <w:bottom w:val="nil"/>
              <w:right w:val="nil"/>
            </w:tcBorders>
            <w:tcMar>
              <w:top w:w="40" w:type="dxa"/>
              <w:left w:w="40" w:type="dxa"/>
              <w:bottom w:w="40" w:type="dxa"/>
              <w:right w:w="40" w:type="dxa"/>
            </w:tcMar>
            <w:vAlign w:val="center"/>
          </w:tcPr>
          <w:p w14:paraId="2D1469D4" w14:textId="77777777" w:rsidR="00E65594" w:rsidRDefault="00E65594" w:rsidP="00DE5D01">
            <w:pPr>
              <w:widowControl w:val="0"/>
              <w:jc w:val="center"/>
              <w:rPr>
                <w:sz w:val="16"/>
                <w:szCs w:val="16"/>
              </w:rPr>
            </w:pPr>
            <w:r>
              <w:rPr>
                <w:sz w:val="16"/>
                <w:szCs w:val="16"/>
              </w:rPr>
              <w:t>40.572</w:t>
            </w:r>
          </w:p>
        </w:tc>
        <w:tc>
          <w:tcPr>
            <w:tcW w:w="645" w:type="dxa"/>
            <w:tcBorders>
              <w:top w:val="nil"/>
              <w:left w:val="nil"/>
              <w:bottom w:val="nil"/>
              <w:right w:val="nil"/>
            </w:tcBorders>
            <w:shd w:val="clear" w:color="auto" w:fill="FFFFFF"/>
            <w:tcMar>
              <w:top w:w="40" w:type="dxa"/>
              <w:left w:w="40" w:type="dxa"/>
              <w:bottom w:w="40" w:type="dxa"/>
              <w:right w:w="40" w:type="dxa"/>
            </w:tcMar>
            <w:vAlign w:val="center"/>
          </w:tcPr>
          <w:p w14:paraId="032CA43D" w14:textId="77777777" w:rsidR="00E65594" w:rsidRDefault="00E65594" w:rsidP="00DE5D01">
            <w:pPr>
              <w:widowControl w:val="0"/>
              <w:jc w:val="center"/>
              <w:rPr>
                <w:sz w:val="16"/>
                <w:szCs w:val="16"/>
              </w:rPr>
            </w:pPr>
            <w:r>
              <w:rPr>
                <w:rFonts w:ascii="Roboto" w:eastAsia="Roboto" w:hAnsi="Roboto" w:cs="Roboto"/>
                <w:sz w:val="16"/>
                <w:szCs w:val="16"/>
              </w:rPr>
              <w:t>48.427</w:t>
            </w:r>
          </w:p>
        </w:tc>
        <w:tc>
          <w:tcPr>
            <w:tcW w:w="1035" w:type="dxa"/>
            <w:tcBorders>
              <w:top w:val="nil"/>
              <w:left w:val="nil"/>
              <w:bottom w:val="nil"/>
              <w:right w:val="nil"/>
            </w:tcBorders>
            <w:tcMar>
              <w:top w:w="40" w:type="dxa"/>
              <w:left w:w="40" w:type="dxa"/>
              <w:bottom w:w="40" w:type="dxa"/>
              <w:right w:w="40" w:type="dxa"/>
            </w:tcMar>
            <w:vAlign w:val="center"/>
          </w:tcPr>
          <w:p w14:paraId="62A570CE" w14:textId="77777777" w:rsidR="00E65594" w:rsidRDefault="00E65594" w:rsidP="00DE5D01">
            <w:pPr>
              <w:widowControl w:val="0"/>
              <w:jc w:val="center"/>
              <w:rPr>
                <w:sz w:val="16"/>
                <w:szCs w:val="16"/>
              </w:rPr>
            </w:pPr>
            <w:r>
              <w:rPr>
                <w:sz w:val="16"/>
                <w:szCs w:val="16"/>
              </w:rPr>
              <w:t>Organic Sediment*</w:t>
            </w:r>
          </w:p>
        </w:tc>
        <w:tc>
          <w:tcPr>
            <w:tcW w:w="1005" w:type="dxa"/>
            <w:tcBorders>
              <w:top w:val="nil"/>
              <w:left w:val="nil"/>
              <w:bottom w:val="nil"/>
              <w:right w:val="nil"/>
            </w:tcBorders>
            <w:tcMar>
              <w:top w:w="40" w:type="dxa"/>
              <w:left w:w="40" w:type="dxa"/>
              <w:bottom w:w="40" w:type="dxa"/>
              <w:right w:w="40" w:type="dxa"/>
            </w:tcMar>
            <w:vAlign w:val="center"/>
          </w:tcPr>
          <w:p w14:paraId="7FE574F6" w14:textId="77777777" w:rsidR="00E65594" w:rsidRDefault="00E65594" w:rsidP="00DE5D01">
            <w:pPr>
              <w:widowControl w:val="0"/>
              <w:jc w:val="center"/>
              <w:rPr>
                <w:sz w:val="16"/>
                <w:szCs w:val="16"/>
              </w:rPr>
            </w:pPr>
            <w:r>
              <w:rPr>
                <w:sz w:val="16"/>
                <w:szCs w:val="16"/>
              </w:rPr>
              <w:t>1160 ± 30</w:t>
            </w:r>
          </w:p>
        </w:tc>
        <w:tc>
          <w:tcPr>
            <w:tcW w:w="1575" w:type="dxa"/>
            <w:tcBorders>
              <w:top w:val="nil"/>
              <w:left w:val="nil"/>
              <w:bottom w:val="nil"/>
              <w:right w:val="nil"/>
            </w:tcBorders>
            <w:tcMar>
              <w:top w:w="40" w:type="dxa"/>
              <w:left w:w="40" w:type="dxa"/>
              <w:bottom w:w="40" w:type="dxa"/>
              <w:right w:w="40" w:type="dxa"/>
            </w:tcMar>
            <w:vAlign w:val="center"/>
          </w:tcPr>
          <w:p w14:paraId="20C50851" w14:textId="77777777" w:rsidR="00E65594" w:rsidRDefault="00E65594" w:rsidP="00DE5D01">
            <w:pPr>
              <w:widowControl w:val="0"/>
              <w:jc w:val="center"/>
              <w:rPr>
                <w:sz w:val="16"/>
                <w:szCs w:val="16"/>
              </w:rPr>
            </w:pPr>
            <w:r>
              <w:rPr>
                <w:sz w:val="16"/>
                <w:szCs w:val="16"/>
              </w:rPr>
              <w:t>820-978 (83.9%)</w:t>
            </w:r>
          </w:p>
          <w:p w14:paraId="41DCC426" w14:textId="77777777" w:rsidR="00E65594" w:rsidRDefault="00E65594" w:rsidP="00DE5D01">
            <w:pPr>
              <w:widowControl w:val="0"/>
              <w:jc w:val="center"/>
              <w:rPr>
                <w:sz w:val="16"/>
                <w:szCs w:val="16"/>
              </w:rPr>
            </w:pPr>
            <w:r>
              <w:rPr>
                <w:sz w:val="16"/>
                <w:szCs w:val="16"/>
              </w:rPr>
              <w:t>772-790 (10.2%)</w:t>
            </w:r>
          </w:p>
          <w:p w14:paraId="4D5DAC89" w14:textId="77777777" w:rsidR="00E65594" w:rsidRDefault="00E65594" w:rsidP="00DE5D01">
            <w:pPr>
              <w:widowControl w:val="0"/>
              <w:jc w:val="center"/>
              <w:rPr>
                <w:sz w:val="16"/>
                <w:szCs w:val="16"/>
              </w:rPr>
            </w:pPr>
            <w:r>
              <w:rPr>
                <w:sz w:val="16"/>
                <w:szCs w:val="16"/>
              </w:rPr>
              <w:t>804-810 (1.3%)</w:t>
            </w:r>
          </w:p>
        </w:tc>
        <w:tc>
          <w:tcPr>
            <w:tcW w:w="1095" w:type="dxa"/>
            <w:tcBorders>
              <w:top w:val="nil"/>
              <w:left w:val="nil"/>
              <w:bottom w:val="nil"/>
              <w:right w:val="nil"/>
            </w:tcBorders>
            <w:tcMar>
              <w:top w:w="40" w:type="dxa"/>
              <w:left w:w="40" w:type="dxa"/>
              <w:bottom w:w="40" w:type="dxa"/>
              <w:right w:w="40" w:type="dxa"/>
            </w:tcMar>
            <w:vAlign w:val="center"/>
          </w:tcPr>
          <w:p w14:paraId="1DB0EF98" w14:textId="77777777" w:rsidR="00E65594" w:rsidRDefault="00E65594" w:rsidP="00DE5D01">
            <w:pPr>
              <w:widowControl w:val="0"/>
              <w:jc w:val="center"/>
              <w:rPr>
                <w:sz w:val="16"/>
                <w:szCs w:val="16"/>
              </w:rPr>
            </w:pPr>
            <w:r>
              <w:rPr>
                <w:sz w:val="16"/>
                <w:szCs w:val="16"/>
              </w:rPr>
              <w:t>774-979</w:t>
            </w:r>
          </w:p>
        </w:tc>
        <w:tc>
          <w:tcPr>
            <w:tcW w:w="1215" w:type="dxa"/>
            <w:tcBorders>
              <w:top w:val="nil"/>
              <w:left w:val="nil"/>
              <w:bottom w:val="nil"/>
              <w:right w:val="nil"/>
            </w:tcBorders>
            <w:tcMar>
              <w:top w:w="40" w:type="dxa"/>
              <w:left w:w="40" w:type="dxa"/>
              <w:bottom w:w="40" w:type="dxa"/>
              <w:right w:w="40" w:type="dxa"/>
            </w:tcMar>
            <w:vAlign w:val="center"/>
          </w:tcPr>
          <w:p w14:paraId="27E45C4F" w14:textId="77777777" w:rsidR="00E65594" w:rsidRDefault="00E65594" w:rsidP="00DE5D01">
            <w:pPr>
              <w:widowControl w:val="0"/>
              <w:jc w:val="center"/>
              <w:rPr>
                <w:sz w:val="16"/>
                <w:szCs w:val="16"/>
              </w:rPr>
            </w:pPr>
            <w:r>
              <w:rPr>
                <w:sz w:val="16"/>
                <w:szCs w:val="16"/>
              </w:rPr>
              <w:t>86.55 ± 0.32</w:t>
            </w:r>
          </w:p>
        </w:tc>
        <w:tc>
          <w:tcPr>
            <w:tcW w:w="645" w:type="dxa"/>
            <w:tcBorders>
              <w:top w:val="nil"/>
              <w:left w:val="nil"/>
              <w:bottom w:val="nil"/>
              <w:right w:val="nil"/>
            </w:tcBorders>
            <w:tcMar>
              <w:top w:w="40" w:type="dxa"/>
              <w:left w:w="40" w:type="dxa"/>
              <w:bottom w:w="40" w:type="dxa"/>
              <w:right w:w="40" w:type="dxa"/>
            </w:tcMar>
            <w:vAlign w:val="center"/>
          </w:tcPr>
          <w:p w14:paraId="7EB5FE1D" w14:textId="77777777" w:rsidR="00E65594" w:rsidRDefault="00E65594" w:rsidP="00DE5D01">
            <w:pPr>
              <w:widowControl w:val="0"/>
              <w:jc w:val="center"/>
              <w:rPr>
                <w:sz w:val="16"/>
                <w:szCs w:val="16"/>
              </w:rPr>
            </w:pPr>
            <w:r>
              <w:rPr>
                <w:sz w:val="16"/>
                <w:szCs w:val="16"/>
              </w:rPr>
              <w:t>-</w:t>
            </w:r>
          </w:p>
        </w:tc>
        <w:tc>
          <w:tcPr>
            <w:tcW w:w="555" w:type="dxa"/>
            <w:tcBorders>
              <w:top w:val="nil"/>
              <w:left w:val="nil"/>
              <w:bottom w:val="nil"/>
              <w:right w:val="nil"/>
            </w:tcBorders>
            <w:tcMar>
              <w:top w:w="40" w:type="dxa"/>
              <w:left w:w="40" w:type="dxa"/>
              <w:bottom w:w="40" w:type="dxa"/>
              <w:right w:w="40" w:type="dxa"/>
            </w:tcMar>
            <w:vAlign w:val="center"/>
          </w:tcPr>
          <w:p w14:paraId="26E2A050" w14:textId="77777777" w:rsidR="00E65594" w:rsidRDefault="00E65594" w:rsidP="00DE5D01">
            <w:pPr>
              <w:widowControl w:val="0"/>
              <w:jc w:val="center"/>
              <w:rPr>
                <w:sz w:val="16"/>
                <w:szCs w:val="16"/>
              </w:rPr>
            </w:pPr>
            <w:r>
              <w:rPr>
                <w:sz w:val="16"/>
                <w:szCs w:val="16"/>
              </w:rPr>
              <w:t>-</w:t>
            </w:r>
          </w:p>
        </w:tc>
      </w:tr>
      <w:tr w:rsidR="00E65594" w14:paraId="574B535C" w14:textId="77777777" w:rsidTr="00DE5D01">
        <w:trPr>
          <w:trHeight w:val="315"/>
        </w:trPr>
        <w:tc>
          <w:tcPr>
            <w:tcW w:w="645" w:type="dxa"/>
            <w:tcBorders>
              <w:top w:val="nil"/>
              <w:left w:val="nil"/>
              <w:bottom w:val="nil"/>
              <w:right w:val="nil"/>
            </w:tcBorders>
            <w:tcMar>
              <w:top w:w="40" w:type="dxa"/>
              <w:left w:w="40" w:type="dxa"/>
              <w:bottom w:w="40" w:type="dxa"/>
              <w:right w:w="40" w:type="dxa"/>
            </w:tcMar>
            <w:vAlign w:val="center"/>
          </w:tcPr>
          <w:p w14:paraId="58BE67F9" w14:textId="77777777" w:rsidR="00E65594" w:rsidRDefault="00E65594" w:rsidP="00DE5D01">
            <w:pPr>
              <w:widowControl w:val="0"/>
              <w:jc w:val="center"/>
              <w:rPr>
                <w:sz w:val="16"/>
                <w:szCs w:val="16"/>
              </w:rPr>
            </w:pPr>
            <w:r>
              <w:rPr>
                <w:sz w:val="16"/>
                <w:szCs w:val="16"/>
              </w:rPr>
              <w:t>R26</w:t>
            </w:r>
          </w:p>
        </w:tc>
        <w:tc>
          <w:tcPr>
            <w:tcW w:w="705" w:type="dxa"/>
            <w:tcBorders>
              <w:top w:val="nil"/>
              <w:left w:val="nil"/>
              <w:bottom w:val="nil"/>
              <w:right w:val="nil"/>
            </w:tcBorders>
            <w:tcMar>
              <w:top w:w="40" w:type="dxa"/>
              <w:left w:w="40" w:type="dxa"/>
              <w:bottom w:w="40" w:type="dxa"/>
              <w:right w:w="40" w:type="dxa"/>
            </w:tcMar>
            <w:vAlign w:val="center"/>
          </w:tcPr>
          <w:p w14:paraId="1BA7918D" w14:textId="77777777" w:rsidR="00E65594" w:rsidRDefault="00E65594" w:rsidP="00DE5D01">
            <w:pPr>
              <w:widowControl w:val="0"/>
              <w:jc w:val="center"/>
              <w:rPr>
                <w:sz w:val="16"/>
                <w:szCs w:val="16"/>
              </w:rPr>
            </w:pPr>
            <w:proofErr w:type="spellStart"/>
            <w:r>
              <w:rPr>
                <w:sz w:val="16"/>
                <w:szCs w:val="16"/>
              </w:rPr>
              <w:t>Agsu</w:t>
            </w:r>
            <w:proofErr w:type="spellEnd"/>
            <w:r>
              <w:rPr>
                <w:sz w:val="16"/>
                <w:szCs w:val="16"/>
              </w:rPr>
              <w:t xml:space="preserve"> T1</w:t>
            </w:r>
          </w:p>
        </w:tc>
        <w:tc>
          <w:tcPr>
            <w:tcW w:w="375" w:type="dxa"/>
            <w:tcBorders>
              <w:top w:val="nil"/>
              <w:left w:val="nil"/>
              <w:bottom w:val="nil"/>
              <w:right w:val="nil"/>
            </w:tcBorders>
            <w:tcMar>
              <w:top w:w="40" w:type="dxa"/>
              <w:left w:w="40" w:type="dxa"/>
              <w:bottom w:w="40" w:type="dxa"/>
              <w:right w:w="40" w:type="dxa"/>
            </w:tcMar>
            <w:vAlign w:val="center"/>
          </w:tcPr>
          <w:p w14:paraId="06879CC0" w14:textId="77777777" w:rsidR="00E65594" w:rsidRDefault="00E65594" w:rsidP="00DE5D01">
            <w:pPr>
              <w:widowControl w:val="0"/>
              <w:jc w:val="center"/>
              <w:rPr>
                <w:sz w:val="16"/>
                <w:szCs w:val="16"/>
              </w:rPr>
            </w:pPr>
            <w:r>
              <w:rPr>
                <w:sz w:val="16"/>
                <w:szCs w:val="16"/>
              </w:rPr>
              <w:t>U1</w:t>
            </w:r>
          </w:p>
        </w:tc>
        <w:tc>
          <w:tcPr>
            <w:tcW w:w="600" w:type="dxa"/>
            <w:tcBorders>
              <w:top w:val="nil"/>
              <w:left w:val="nil"/>
              <w:bottom w:val="nil"/>
              <w:right w:val="nil"/>
            </w:tcBorders>
            <w:tcMar>
              <w:top w:w="40" w:type="dxa"/>
              <w:left w:w="40" w:type="dxa"/>
              <w:bottom w:w="40" w:type="dxa"/>
              <w:right w:w="40" w:type="dxa"/>
            </w:tcMar>
            <w:vAlign w:val="center"/>
          </w:tcPr>
          <w:p w14:paraId="1B953304" w14:textId="77777777" w:rsidR="00E65594" w:rsidRDefault="00E65594" w:rsidP="00DE5D01">
            <w:pPr>
              <w:widowControl w:val="0"/>
              <w:jc w:val="center"/>
              <w:rPr>
                <w:sz w:val="16"/>
                <w:szCs w:val="16"/>
              </w:rPr>
            </w:pPr>
            <w:r>
              <w:rPr>
                <w:sz w:val="16"/>
                <w:szCs w:val="16"/>
              </w:rPr>
              <w:t>40.572</w:t>
            </w:r>
          </w:p>
        </w:tc>
        <w:tc>
          <w:tcPr>
            <w:tcW w:w="645" w:type="dxa"/>
            <w:tcBorders>
              <w:top w:val="nil"/>
              <w:left w:val="nil"/>
              <w:bottom w:val="nil"/>
              <w:right w:val="nil"/>
            </w:tcBorders>
            <w:shd w:val="clear" w:color="auto" w:fill="FFFFFF"/>
            <w:tcMar>
              <w:top w:w="40" w:type="dxa"/>
              <w:left w:w="40" w:type="dxa"/>
              <w:bottom w:w="40" w:type="dxa"/>
              <w:right w:w="40" w:type="dxa"/>
            </w:tcMar>
            <w:vAlign w:val="center"/>
          </w:tcPr>
          <w:p w14:paraId="45D2DBF2" w14:textId="77777777" w:rsidR="00E65594" w:rsidRDefault="00E65594" w:rsidP="00DE5D01">
            <w:pPr>
              <w:widowControl w:val="0"/>
              <w:jc w:val="center"/>
              <w:rPr>
                <w:sz w:val="16"/>
                <w:szCs w:val="16"/>
              </w:rPr>
            </w:pPr>
            <w:r>
              <w:rPr>
                <w:rFonts w:ascii="Roboto" w:eastAsia="Roboto" w:hAnsi="Roboto" w:cs="Roboto"/>
                <w:sz w:val="16"/>
                <w:szCs w:val="16"/>
              </w:rPr>
              <w:t>48.427</w:t>
            </w:r>
          </w:p>
        </w:tc>
        <w:tc>
          <w:tcPr>
            <w:tcW w:w="1035" w:type="dxa"/>
            <w:tcBorders>
              <w:top w:val="nil"/>
              <w:left w:val="nil"/>
              <w:bottom w:val="nil"/>
              <w:right w:val="nil"/>
            </w:tcBorders>
            <w:tcMar>
              <w:top w:w="40" w:type="dxa"/>
              <w:left w:w="40" w:type="dxa"/>
              <w:bottom w:w="40" w:type="dxa"/>
              <w:right w:w="40" w:type="dxa"/>
            </w:tcMar>
            <w:vAlign w:val="center"/>
          </w:tcPr>
          <w:p w14:paraId="454CB54B" w14:textId="77777777" w:rsidR="00E65594" w:rsidRDefault="00E65594" w:rsidP="00DE5D01">
            <w:pPr>
              <w:widowControl w:val="0"/>
              <w:jc w:val="center"/>
              <w:rPr>
                <w:sz w:val="16"/>
                <w:szCs w:val="16"/>
              </w:rPr>
            </w:pPr>
            <w:r>
              <w:rPr>
                <w:sz w:val="16"/>
                <w:szCs w:val="16"/>
              </w:rPr>
              <w:t>Organic Sediment*</w:t>
            </w:r>
          </w:p>
        </w:tc>
        <w:tc>
          <w:tcPr>
            <w:tcW w:w="1005" w:type="dxa"/>
            <w:tcBorders>
              <w:top w:val="nil"/>
              <w:left w:val="nil"/>
              <w:bottom w:val="nil"/>
              <w:right w:val="nil"/>
            </w:tcBorders>
            <w:tcMar>
              <w:top w:w="40" w:type="dxa"/>
              <w:left w:w="40" w:type="dxa"/>
              <w:bottom w:w="40" w:type="dxa"/>
              <w:right w:w="40" w:type="dxa"/>
            </w:tcMar>
            <w:vAlign w:val="center"/>
          </w:tcPr>
          <w:p w14:paraId="2AD3EB0B" w14:textId="77777777" w:rsidR="00E65594" w:rsidRDefault="00E65594" w:rsidP="00DE5D01">
            <w:pPr>
              <w:widowControl w:val="0"/>
              <w:jc w:val="center"/>
              <w:rPr>
                <w:sz w:val="16"/>
                <w:szCs w:val="16"/>
              </w:rPr>
            </w:pPr>
            <w:r>
              <w:rPr>
                <w:sz w:val="16"/>
                <w:szCs w:val="16"/>
              </w:rPr>
              <w:t>940 ± 30</w:t>
            </w:r>
          </w:p>
        </w:tc>
        <w:tc>
          <w:tcPr>
            <w:tcW w:w="1575" w:type="dxa"/>
            <w:tcBorders>
              <w:top w:val="nil"/>
              <w:left w:val="nil"/>
              <w:bottom w:val="nil"/>
              <w:right w:val="nil"/>
            </w:tcBorders>
            <w:tcMar>
              <w:top w:w="40" w:type="dxa"/>
              <w:left w:w="40" w:type="dxa"/>
              <w:bottom w:w="40" w:type="dxa"/>
              <w:right w:w="40" w:type="dxa"/>
            </w:tcMar>
            <w:vAlign w:val="center"/>
          </w:tcPr>
          <w:p w14:paraId="1EECD4F2" w14:textId="77777777" w:rsidR="00E65594" w:rsidRDefault="00E65594" w:rsidP="00DE5D01">
            <w:pPr>
              <w:widowControl w:val="0"/>
              <w:jc w:val="center"/>
              <w:rPr>
                <w:sz w:val="16"/>
                <w:szCs w:val="16"/>
              </w:rPr>
            </w:pPr>
            <w:r>
              <w:rPr>
                <w:sz w:val="16"/>
                <w:szCs w:val="16"/>
              </w:rPr>
              <w:t>1028-1172 (95.4%)</w:t>
            </w:r>
          </w:p>
        </w:tc>
        <w:tc>
          <w:tcPr>
            <w:tcW w:w="1095" w:type="dxa"/>
            <w:tcBorders>
              <w:top w:val="nil"/>
              <w:left w:val="nil"/>
              <w:bottom w:val="nil"/>
              <w:right w:val="nil"/>
            </w:tcBorders>
            <w:tcMar>
              <w:top w:w="40" w:type="dxa"/>
              <w:left w:w="40" w:type="dxa"/>
              <w:bottom w:w="40" w:type="dxa"/>
              <w:right w:w="40" w:type="dxa"/>
            </w:tcMar>
            <w:vAlign w:val="center"/>
          </w:tcPr>
          <w:p w14:paraId="7EB21A7B" w14:textId="77777777" w:rsidR="00E65594" w:rsidRDefault="00E65594" w:rsidP="00DE5D01">
            <w:pPr>
              <w:widowControl w:val="0"/>
              <w:jc w:val="center"/>
              <w:rPr>
                <w:sz w:val="16"/>
                <w:szCs w:val="16"/>
              </w:rPr>
            </w:pPr>
            <w:r>
              <w:rPr>
                <w:sz w:val="16"/>
                <w:szCs w:val="16"/>
              </w:rPr>
              <w:t>1028-1171</w:t>
            </w:r>
          </w:p>
        </w:tc>
        <w:tc>
          <w:tcPr>
            <w:tcW w:w="1215" w:type="dxa"/>
            <w:tcBorders>
              <w:top w:val="nil"/>
              <w:left w:val="nil"/>
              <w:bottom w:val="nil"/>
              <w:right w:val="nil"/>
            </w:tcBorders>
            <w:tcMar>
              <w:top w:w="40" w:type="dxa"/>
              <w:left w:w="40" w:type="dxa"/>
              <w:bottom w:w="40" w:type="dxa"/>
              <w:right w:w="40" w:type="dxa"/>
            </w:tcMar>
            <w:vAlign w:val="center"/>
          </w:tcPr>
          <w:p w14:paraId="11AEE755" w14:textId="77777777" w:rsidR="00E65594" w:rsidRDefault="00E65594" w:rsidP="00DE5D01">
            <w:pPr>
              <w:widowControl w:val="0"/>
              <w:jc w:val="center"/>
              <w:rPr>
                <w:sz w:val="16"/>
                <w:szCs w:val="16"/>
              </w:rPr>
            </w:pPr>
            <w:r>
              <w:rPr>
                <w:sz w:val="16"/>
                <w:szCs w:val="16"/>
              </w:rPr>
              <w:t>88.96 ± 0.33</w:t>
            </w:r>
          </w:p>
        </w:tc>
        <w:tc>
          <w:tcPr>
            <w:tcW w:w="645" w:type="dxa"/>
            <w:tcBorders>
              <w:top w:val="nil"/>
              <w:left w:val="nil"/>
              <w:bottom w:val="nil"/>
              <w:right w:val="nil"/>
            </w:tcBorders>
            <w:tcMar>
              <w:top w:w="40" w:type="dxa"/>
              <w:left w:w="40" w:type="dxa"/>
              <w:bottom w:w="40" w:type="dxa"/>
              <w:right w:w="40" w:type="dxa"/>
            </w:tcMar>
            <w:vAlign w:val="center"/>
          </w:tcPr>
          <w:p w14:paraId="7DED6B16" w14:textId="77777777" w:rsidR="00E65594" w:rsidRDefault="00E65594" w:rsidP="00DE5D01">
            <w:pPr>
              <w:widowControl w:val="0"/>
              <w:jc w:val="center"/>
              <w:rPr>
                <w:sz w:val="16"/>
                <w:szCs w:val="16"/>
              </w:rPr>
            </w:pPr>
            <w:r>
              <w:rPr>
                <w:sz w:val="16"/>
                <w:szCs w:val="16"/>
              </w:rPr>
              <w:t>-26.2</w:t>
            </w:r>
          </w:p>
        </w:tc>
        <w:tc>
          <w:tcPr>
            <w:tcW w:w="555" w:type="dxa"/>
            <w:tcBorders>
              <w:top w:val="nil"/>
              <w:left w:val="nil"/>
              <w:bottom w:val="nil"/>
              <w:right w:val="nil"/>
            </w:tcBorders>
            <w:tcMar>
              <w:top w:w="40" w:type="dxa"/>
              <w:left w:w="40" w:type="dxa"/>
              <w:bottom w:w="40" w:type="dxa"/>
              <w:right w:w="40" w:type="dxa"/>
            </w:tcMar>
            <w:vAlign w:val="center"/>
          </w:tcPr>
          <w:p w14:paraId="18322893" w14:textId="77777777" w:rsidR="00E65594" w:rsidRDefault="00E65594" w:rsidP="00DE5D01">
            <w:pPr>
              <w:widowControl w:val="0"/>
              <w:jc w:val="center"/>
              <w:rPr>
                <w:sz w:val="16"/>
                <w:szCs w:val="16"/>
              </w:rPr>
            </w:pPr>
            <w:r>
              <w:rPr>
                <w:sz w:val="16"/>
                <w:szCs w:val="16"/>
              </w:rPr>
              <w:t>-</w:t>
            </w:r>
          </w:p>
        </w:tc>
      </w:tr>
      <w:tr w:rsidR="00E65594" w14:paraId="2EF87BAE" w14:textId="77777777" w:rsidTr="00DE5D01">
        <w:trPr>
          <w:trHeight w:val="315"/>
        </w:trPr>
        <w:tc>
          <w:tcPr>
            <w:tcW w:w="645" w:type="dxa"/>
            <w:tcBorders>
              <w:top w:val="nil"/>
              <w:left w:val="nil"/>
              <w:bottom w:val="nil"/>
              <w:right w:val="nil"/>
            </w:tcBorders>
            <w:tcMar>
              <w:top w:w="40" w:type="dxa"/>
              <w:left w:w="40" w:type="dxa"/>
              <w:bottom w:w="40" w:type="dxa"/>
              <w:right w:w="40" w:type="dxa"/>
            </w:tcMar>
            <w:vAlign w:val="center"/>
          </w:tcPr>
          <w:p w14:paraId="7FC9E6F4" w14:textId="77777777" w:rsidR="00E65594" w:rsidRDefault="00E65594" w:rsidP="00DE5D01">
            <w:pPr>
              <w:widowControl w:val="0"/>
              <w:jc w:val="center"/>
              <w:rPr>
                <w:sz w:val="16"/>
                <w:szCs w:val="16"/>
              </w:rPr>
            </w:pPr>
            <w:r>
              <w:rPr>
                <w:sz w:val="16"/>
                <w:szCs w:val="16"/>
              </w:rPr>
              <w:t>R29</w:t>
            </w:r>
          </w:p>
        </w:tc>
        <w:tc>
          <w:tcPr>
            <w:tcW w:w="705" w:type="dxa"/>
            <w:tcBorders>
              <w:top w:val="nil"/>
              <w:left w:val="nil"/>
              <w:bottom w:val="nil"/>
              <w:right w:val="nil"/>
            </w:tcBorders>
            <w:tcMar>
              <w:top w:w="40" w:type="dxa"/>
              <w:left w:w="40" w:type="dxa"/>
              <w:bottom w:w="40" w:type="dxa"/>
              <w:right w:w="40" w:type="dxa"/>
            </w:tcMar>
            <w:vAlign w:val="center"/>
          </w:tcPr>
          <w:p w14:paraId="7FAE2C7A" w14:textId="77777777" w:rsidR="00E65594" w:rsidRDefault="00E65594" w:rsidP="00DE5D01">
            <w:pPr>
              <w:widowControl w:val="0"/>
              <w:jc w:val="center"/>
              <w:rPr>
                <w:sz w:val="16"/>
                <w:szCs w:val="16"/>
              </w:rPr>
            </w:pPr>
            <w:proofErr w:type="spellStart"/>
            <w:r>
              <w:rPr>
                <w:sz w:val="16"/>
                <w:szCs w:val="16"/>
              </w:rPr>
              <w:t>Agsu</w:t>
            </w:r>
            <w:proofErr w:type="spellEnd"/>
            <w:r>
              <w:rPr>
                <w:sz w:val="16"/>
                <w:szCs w:val="16"/>
              </w:rPr>
              <w:t xml:space="preserve"> T1</w:t>
            </w:r>
          </w:p>
        </w:tc>
        <w:tc>
          <w:tcPr>
            <w:tcW w:w="375" w:type="dxa"/>
            <w:tcBorders>
              <w:top w:val="nil"/>
              <w:left w:val="nil"/>
              <w:bottom w:val="nil"/>
              <w:right w:val="nil"/>
            </w:tcBorders>
            <w:tcMar>
              <w:top w:w="40" w:type="dxa"/>
              <w:left w:w="40" w:type="dxa"/>
              <w:bottom w:w="40" w:type="dxa"/>
              <w:right w:w="40" w:type="dxa"/>
            </w:tcMar>
            <w:vAlign w:val="center"/>
          </w:tcPr>
          <w:p w14:paraId="57ED3EAD" w14:textId="77777777" w:rsidR="00E65594" w:rsidRDefault="00E65594" w:rsidP="00DE5D01">
            <w:pPr>
              <w:widowControl w:val="0"/>
              <w:jc w:val="center"/>
              <w:rPr>
                <w:sz w:val="16"/>
                <w:szCs w:val="16"/>
              </w:rPr>
            </w:pPr>
            <w:r>
              <w:rPr>
                <w:sz w:val="16"/>
                <w:szCs w:val="16"/>
              </w:rPr>
              <w:t>U1</w:t>
            </w:r>
          </w:p>
        </w:tc>
        <w:tc>
          <w:tcPr>
            <w:tcW w:w="600" w:type="dxa"/>
            <w:tcBorders>
              <w:top w:val="nil"/>
              <w:left w:val="nil"/>
              <w:bottom w:val="nil"/>
              <w:right w:val="nil"/>
            </w:tcBorders>
            <w:tcMar>
              <w:top w:w="40" w:type="dxa"/>
              <w:left w:w="40" w:type="dxa"/>
              <w:bottom w:w="40" w:type="dxa"/>
              <w:right w:w="40" w:type="dxa"/>
            </w:tcMar>
            <w:vAlign w:val="center"/>
          </w:tcPr>
          <w:p w14:paraId="438A6484" w14:textId="77777777" w:rsidR="00E65594" w:rsidRDefault="00E65594" w:rsidP="00DE5D01">
            <w:pPr>
              <w:widowControl w:val="0"/>
              <w:jc w:val="center"/>
              <w:rPr>
                <w:sz w:val="16"/>
                <w:szCs w:val="16"/>
              </w:rPr>
            </w:pPr>
            <w:r>
              <w:rPr>
                <w:sz w:val="16"/>
                <w:szCs w:val="16"/>
              </w:rPr>
              <w:t>40.572</w:t>
            </w:r>
          </w:p>
        </w:tc>
        <w:tc>
          <w:tcPr>
            <w:tcW w:w="645" w:type="dxa"/>
            <w:tcBorders>
              <w:top w:val="nil"/>
              <w:left w:val="nil"/>
              <w:bottom w:val="nil"/>
              <w:right w:val="nil"/>
            </w:tcBorders>
            <w:shd w:val="clear" w:color="auto" w:fill="FFFFFF"/>
            <w:tcMar>
              <w:top w:w="40" w:type="dxa"/>
              <w:left w:w="40" w:type="dxa"/>
              <w:bottom w:w="40" w:type="dxa"/>
              <w:right w:w="40" w:type="dxa"/>
            </w:tcMar>
            <w:vAlign w:val="center"/>
          </w:tcPr>
          <w:p w14:paraId="2F3EE47C" w14:textId="77777777" w:rsidR="00E65594" w:rsidRDefault="00E65594" w:rsidP="00DE5D01">
            <w:pPr>
              <w:widowControl w:val="0"/>
              <w:jc w:val="center"/>
              <w:rPr>
                <w:sz w:val="16"/>
                <w:szCs w:val="16"/>
              </w:rPr>
            </w:pPr>
            <w:r>
              <w:rPr>
                <w:rFonts w:ascii="Roboto" w:eastAsia="Roboto" w:hAnsi="Roboto" w:cs="Roboto"/>
                <w:sz w:val="16"/>
                <w:szCs w:val="16"/>
              </w:rPr>
              <w:t>48.427</w:t>
            </w:r>
          </w:p>
        </w:tc>
        <w:tc>
          <w:tcPr>
            <w:tcW w:w="1035" w:type="dxa"/>
            <w:tcBorders>
              <w:top w:val="nil"/>
              <w:left w:val="nil"/>
              <w:bottom w:val="nil"/>
              <w:right w:val="nil"/>
            </w:tcBorders>
            <w:tcMar>
              <w:top w:w="40" w:type="dxa"/>
              <w:left w:w="40" w:type="dxa"/>
              <w:bottom w:w="40" w:type="dxa"/>
              <w:right w:w="40" w:type="dxa"/>
            </w:tcMar>
            <w:vAlign w:val="center"/>
          </w:tcPr>
          <w:p w14:paraId="1AD03C4B" w14:textId="77777777" w:rsidR="00E65594" w:rsidRDefault="00E65594" w:rsidP="00DE5D01">
            <w:pPr>
              <w:widowControl w:val="0"/>
              <w:jc w:val="center"/>
              <w:rPr>
                <w:sz w:val="16"/>
                <w:szCs w:val="16"/>
              </w:rPr>
            </w:pPr>
            <w:r>
              <w:rPr>
                <w:sz w:val="16"/>
                <w:szCs w:val="16"/>
              </w:rPr>
              <w:t>Charcoal</w:t>
            </w:r>
          </w:p>
        </w:tc>
        <w:tc>
          <w:tcPr>
            <w:tcW w:w="1005" w:type="dxa"/>
            <w:tcBorders>
              <w:top w:val="nil"/>
              <w:left w:val="nil"/>
              <w:bottom w:val="nil"/>
              <w:right w:val="nil"/>
            </w:tcBorders>
            <w:tcMar>
              <w:top w:w="40" w:type="dxa"/>
              <w:left w:w="40" w:type="dxa"/>
              <w:bottom w:w="40" w:type="dxa"/>
              <w:right w:w="40" w:type="dxa"/>
            </w:tcMar>
            <w:vAlign w:val="center"/>
          </w:tcPr>
          <w:p w14:paraId="41A5DB85" w14:textId="77777777" w:rsidR="00E65594" w:rsidRDefault="00E65594" w:rsidP="00DE5D01">
            <w:pPr>
              <w:widowControl w:val="0"/>
              <w:jc w:val="center"/>
              <w:rPr>
                <w:sz w:val="16"/>
                <w:szCs w:val="16"/>
              </w:rPr>
            </w:pPr>
            <w:r>
              <w:rPr>
                <w:sz w:val="16"/>
                <w:szCs w:val="16"/>
              </w:rPr>
              <w:t>120 ± 30</w:t>
            </w:r>
          </w:p>
        </w:tc>
        <w:tc>
          <w:tcPr>
            <w:tcW w:w="1575" w:type="dxa"/>
            <w:tcBorders>
              <w:top w:val="nil"/>
              <w:left w:val="nil"/>
              <w:bottom w:val="nil"/>
              <w:right w:val="nil"/>
            </w:tcBorders>
            <w:tcMar>
              <w:top w:w="40" w:type="dxa"/>
              <w:left w:w="40" w:type="dxa"/>
              <w:bottom w:w="40" w:type="dxa"/>
              <w:right w:w="40" w:type="dxa"/>
            </w:tcMar>
            <w:vAlign w:val="center"/>
          </w:tcPr>
          <w:p w14:paraId="12E341BB" w14:textId="77777777" w:rsidR="00E65594" w:rsidRDefault="00E65594" w:rsidP="00DE5D01">
            <w:pPr>
              <w:widowControl w:val="0"/>
              <w:jc w:val="center"/>
              <w:rPr>
                <w:sz w:val="16"/>
                <w:szCs w:val="16"/>
              </w:rPr>
            </w:pPr>
            <w:r>
              <w:rPr>
                <w:sz w:val="16"/>
                <w:szCs w:val="16"/>
              </w:rPr>
              <w:t>1799-1940 (67.2%)</w:t>
            </w:r>
          </w:p>
          <w:p w14:paraId="335D5031" w14:textId="77777777" w:rsidR="00E65594" w:rsidRDefault="00E65594" w:rsidP="00DE5D01">
            <w:pPr>
              <w:widowControl w:val="0"/>
              <w:jc w:val="center"/>
              <w:rPr>
                <w:sz w:val="16"/>
                <w:szCs w:val="16"/>
              </w:rPr>
            </w:pPr>
            <w:r>
              <w:rPr>
                <w:sz w:val="16"/>
                <w:szCs w:val="16"/>
              </w:rPr>
              <w:t>1680-1740 (25.8%)</w:t>
            </w:r>
          </w:p>
          <w:p w14:paraId="1DDA368E" w14:textId="77777777" w:rsidR="00E65594" w:rsidRDefault="00E65594" w:rsidP="00DE5D01">
            <w:pPr>
              <w:widowControl w:val="0"/>
              <w:jc w:val="center"/>
              <w:rPr>
                <w:sz w:val="16"/>
                <w:szCs w:val="16"/>
              </w:rPr>
            </w:pPr>
            <w:r>
              <w:rPr>
                <w:sz w:val="16"/>
                <w:szCs w:val="16"/>
              </w:rPr>
              <w:t>1752-1764 (2.4%)</w:t>
            </w:r>
          </w:p>
        </w:tc>
        <w:tc>
          <w:tcPr>
            <w:tcW w:w="1095" w:type="dxa"/>
            <w:tcBorders>
              <w:top w:val="nil"/>
              <w:left w:val="nil"/>
              <w:bottom w:val="nil"/>
              <w:right w:val="nil"/>
            </w:tcBorders>
            <w:tcMar>
              <w:top w:w="40" w:type="dxa"/>
              <w:left w:w="40" w:type="dxa"/>
              <w:bottom w:w="40" w:type="dxa"/>
              <w:right w:w="40" w:type="dxa"/>
            </w:tcMar>
            <w:vAlign w:val="center"/>
          </w:tcPr>
          <w:p w14:paraId="576B9564" w14:textId="77777777" w:rsidR="00E65594" w:rsidRDefault="00E65594" w:rsidP="00DE5D01">
            <w:pPr>
              <w:widowControl w:val="0"/>
              <w:jc w:val="center"/>
              <w:rPr>
                <w:sz w:val="16"/>
                <w:szCs w:val="16"/>
              </w:rPr>
            </w:pPr>
            <w:r>
              <w:rPr>
                <w:sz w:val="16"/>
                <w:szCs w:val="16"/>
              </w:rPr>
              <w:t>1669-1859</w:t>
            </w:r>
          </w:p>
        </w:tc>
        <w:tc>
          <w:tcPr>
            <w:tcW w:w="1215" w:type="dxa"/>
            <w:tcBorders>
              <w:top w:val="nil"/>
              <w:left w:val="nil"/>
              <w:bottom w:val="nil"/>
              <w:right w:val="nil"/>
            </w:tcBorders>
            <w:tcMar>
              <w:top w:w="40" w:type="dxa"/>
              <w:left w:w="40" w:type="dxa"/>
              <w:bottom w:w="40" w:type="dxa"/>
              <w:right w:w="40" w:type="dxa"/>
            </w:tcMar>
            <w:vAlign w:val="center"/>
          </w:tcPr>
          <w:p w14:paraId="554EF2D2" w14:textId="77777777" w:rsidR="00E65594" w:rsidRDefault="00E65594" w:rsidP="00DE5D01">
            <w:pPr>
              <w:widowControl w:val="0"/>
              <w:jc w:val="center"/>
              <w:rPr>
                <w:sz w:val="16"/>
                <w:szCs w:val="16"/>
              </w:rPr>
            </w:pPr>
            <w:r>
              <w:rPr>
                <w:sz w:val="16"/>
                <w:szCs w:val="16"/>
              </w:rPr>
              <w:t>98.52 ± 0.37</w:t>
            </w:r>
          </w:p>
        </w:tc>
        <w:tc>
          <w:tcPr>
            <w:tcW w:w="645" w:type="dxa"/>
            <w:tcBorders>
              <w:top w:val="nil"/>
              <w:left w:val="nil"/>
              <w:bottom w:val="nil"/>
              <w:right w:val="nil"/>
            </w:tcBorders>
            <w:tcMar>
              <w:top w:w="40" w:type="dxa"/>
              <w:left w:w="40" w:type="dxa"/>
              <w:bottom w:w="40" w:type="dxa"/>
              <w:right w:w="40" w:type="dxa"/>
            </w:tcMar>
            <w:vAlign w:val="center"/>
          </w:tcPr>
          <w:p w14:paraId="50C645CB" w14:textId="77777777" w:rsidR="00E65594" w:rsidRDefault="00E65594" w:rsidP="00DE5D01">
            <w:pPr>
              <w:widowControl w:val="0"/>
              <w:jc w:val="center"/>
              <w:rPr>
                <w:sz w:val="16"/>
                <w:szCs w:val="16"/>
              </w:rPr>
            </w:pPr>
            <w:r>
              <w:rPr>
                <w:sz w:val="16"/>
                <w:szCs w:val="16"/>
              </w:rPr>
              <w:t>-26.3</w:t>
            </w:r>
          </w:p>
        </w:tc>
        <w:tc>
          <w:tcPr>
            <w:tcW w:w="555" w:type="dxa"/>
            <w:tcBorders>
              <w:top w:val="nil"/>
              <w:left w:val="nil"/>
              <w:bottom w:val="nil"/>
              <w:right w:val="nil"/>
            </w:tcBorders>
            <w:tcMar>
              <w:top w:w="40" w:type="dxa"/>
              <w:left w:w="40" w:type="dxa"/>
              <w:bottom w:w="40" w:type="dxa"/>
              <w:right w:w="40" w:type="dxa"/>
            </w:tcMar>
            <w:vAlign w:val="center"/>
          </w:tcPr>
          <w:p w14:paraId="61705EFA" w14:textId="77777777" w:rsidR="00E65594" w:rsidRDefault="00E65594" w:rsidP="00DE5D01">
            <w:pPr>
              <w:widowControl w:val="0"/>
              <w:jc w:val="center"/>
              <w:rPr>
                <w:sz w:val="16"/>
                <w:szCs w:val="16"/>
              </w:rPr>
            </w:pPr>
            <w:r>
              <w:rPr>
                <w:sz w:val="16"/>
                <w:szCs w:val="16"/>
              </w:rPr>
              <w:t>-</w:t>
            </w:r>
          </w:p>
        </w:tc>
      </w:tr>
      <w:tr w:rsidR="00E65594" w14:paraId="4F79D269" w14:textId="77777777" w:rsidTr="00DE5D01">
        <w:trPr>
          <w:trHeight w:val="315"/>
        </w:trPr>
        <w:tc>
          <w:tcPr>
            <w:tcW w:w="645" w:type="dxa"/>
            <w:tcBorders>
              <w:top w:val="nil"/>
              <w:left w:val="nil"/>
              <w:bottom w:val="nil"/>
              <w:right w:val="nil"/>
            </w:tcBorders>
            <w:tcMar>
              <w:top w:w="40" w:type="dxa"/>
              <w:left w:w="40" w:type="dxa"/>
              <w:bottom w:w="40" w:type="dxa"/>
              <w:right w:w="40" w:type="dxa"/>
            </w:tcMar>
            <w:vAlign w:val="center"/>
          </w:tcPr>
          <w:p w14:paraId="0DAD9A68" w14:textId="77777777" w:rsidR="00E65594" w:rsidRDefault="00E65594" w:rsidP="00DE5D01">
            <w:pPr>
              <w:widowControl w:val="0"/>
              <w:jc w:val="center"/>
              <w:rPr>
                <w:sz w:val="16"/>
                <w:szCs w:val="16"/>
              </w:rPr>
            </w:pPr>
            <w:r>
              <w:rPr>
                <w:sz w:val="16"/>
                <w:szCs w:val="16"/>
              </w:rPr>
              <w:t>R31</w:t>
            </w:r>
          </w:p>
        </w:tc>
        <w:tc>
          <w:tcPr>
            <w:tcW w:w="705" w:type="dxa"/>
            <w:tcBorders>
              <w:top w:val="nil"/>
              <w:left w:val="nil"/>
              <w:bottom w:val="nil"/>
              <w:right w:val="nil"/>
            </w:tcBorders>
            <w:tcMar>
              <w:top w:w="40" w:type="dxa"/>
              <w:left w:w="40" w:type="dxa"/>
              <w:bottom w:w="40" w:type="dxa"/>
              <w:right w:w="40" w:type="dxa"/>
            </w:tcMar>
            <w:vAlign w:val="center"/>
          </w:tcPr>
          <w:p w14:paraId="5809333D" w14:textId="77777777" w:rsidR="00E65594" w:rsidRDefault="00E65594" w:rsidP="00DE5D01">
            <w:pPr>
              <w:widowControl w:val="0"/>
              <w:jc w:val="center"/>
              <w:rPr>
                <w:sz w:val="16"/>
                <w:szCs w:val="16"/>
              </w:rPr>
            </w:pPr>
            <w:proofErr w:type="spellStart"/>
            <w:r>
              <w:rPr>
                <w:sz w:val="16"/>
                <w:szCs w:val="16"/>
              </w:rPr>
              <w:t>Agsu</w:t>
            </w:r>
            <w:proofErr w:type="spellEnd"/>
            <w:r>
              <w:rPr>
                <w:sz w:val="16"/>
                <w:szCs w:val="16"/>
              </w:rPr>
              <w:t xml:space="preserve"> T1</w:t>
            </w:r>
          </w:p>
        </w:tc>
        <w:tc>
          <w:tcPr>
            <w:tcW w:w="375" w:type="dxa"/>
            <w:tcBorders>
              <w:top w:val="nil"/>
              <w:left w:val="nil"/>
              <w:bottom w:val="nil"/>
              <w:right w:val="nil"/>
            </w:tcBorders>
            <w:tcMar>
              <w:top w:w="40" w:type="dxa"/>
              <w:left w:w="40" w:type="dxa"/>
              <w:bottom w:w="40" w:type="dxa"/>
              <w:right w:w="40" w:type="dxa"/>
            </w:tcMar>
            <w:vAlign w:val="center"/>
          </w:tcPr>
          <w:p w14:paraId="73FF927C" w14:textId="77777777" w:rsidR="00E65594" w:rsidRDefault="00E65594" w:rsidP="00DE5D01">
            <w:pPr>
              <w:widowControl w:val="0"/>
              <w:jc w:val="center"/>
              <w:rPr>
                <w:sz w:val="16"/>
                <w:szCs w:val="16"/>
              </w:rPr>
            </w:pPr>
            <w:r>
              <w:rPr>
                <w:sz w:val="16"/>
                <w:szCs w:val="16"/>
              </w:rPr>
              <w:t>U3</w:t>
            </w:r>
          </w:p>
        </w:tc>
        <w:tc>
          <w:tcPr>
            <w:tcW w:w="600" w:type="dxa"/>
            <w:tcBorders>
              <w:top w:val="nil"/>
              <w:left w:val="nil"/>
              <w:bottom w:val="nil"/>
              <w:right w:val="nil"/>
            </w:tcBorders>
            <w:tcMar>
              <w:top w:w="40" w:type="dxa"/>
              <w:left w:w="40" w:type="dxa"/>
              <w:bottom w:w="40" w:type="dxa"/>
              <w:right w:w="40" w:type="dxa"/>
            </w:tcMar>
            <w:vAlign w:val="center"/>
          </w:tcPr>
          <w:p w14:paraId="2EA38B65" w14:textId="77777777" w:rsidR="00E65594" w:rsidRDefault="00E65594" w:rsidP="00DE5D01">
            <w:pPr>
              <w:widowControl w:val="0"/>
              <w:jc w:val="center"/>
              <w:rPr>
                <w:sz w:val="16"/>
                <w:szCs w:val="16"/>
              </w:rPr>
            </w:pPr>
            <w:r>
              <w:rPr>
                <w:sz w:val="16"/>
                <w:szCs w:val="16"/>
              </w:rPr>
              <w:t>40.572</w:t>
            </w:r>
          </w:p>
        </w:tc>
        <w:tc>
          <w:tcPr>
            <w:tcW w:w="645" w:type="dxa"/>
            <w:tcBorders>
              <w:top w:val="nil"/>
              <w:left w:val="nil"/>
              <w:bottom w:val="nil"/>
              <w:right w:val="nil"/>
            </w:tcBorders>
            <w:shd w:val="clear" w:color="auto" w:fill="FFFFFF"/>
            <w:tcMar>
              <w:top w:w="40" w:type="dxa"/>
              <w:left w:w="40" w:type="dxa"/>
              <w:bottom w:w="40" w:type="dxa"/>
              <w:right w:w="40" w:type="dxa"/>
            </w:tcMar>
            <w:vAlign w:val="center"/>
          </w:tcPr>
          <w:p w14:paraId="53276E58" w14:textId="77777777" w:rsidR="00E65594" w:rsidRDefault="00E65594" w:rsidP="00DE5D01">
            <w:pPr>
              <w:widowControl w:val="0"/>
              <w:jc w:val="center"/>
              <w:rPr>
                <w:sz w:val="16"/>
                <w:szCs w:val="16"/>
              </w:rPr>
            </w:pPr>
            <w:r>
              <w:rPr>
                <w:rFonts w:ascii="Roboto" w:eastAsia="Roboto" w:hAnsi="Roboto" w:cs="Roboto"/>
                <w:sz w:val="16"/>
                <w:szCs w:val="16"/>
              </w:rPr>
              <w:t>48.427</w:t>
            </w:r>
          </w:p>
        </w:tc>
        <w:tc>
          <w:tcPr>
            <w:tcW w:w="1035" w:type="dxa"/>
            <w:tcBorders>
              <w:top w:val="nil"/>
              <w:left w:val="nil"/>
              <w:bottom w:val="nil"/>
              <w:right w:val="nil"/>
            </w:tcBorders>
            <w:tcMar>
              <w:top w:w="40" w:type="dxa"/>
              <w:left w:w="40" w:type="dxa"/>
              <w:bottom w:w="40" w:type="dxa"/>
              <w:right w:w="40" w:type="dxa"/>
            </w:tcMar>
            <w:vAlign w:val="center"/>
          </w:tcPr>
          <w:p w14:paraId="2AC0F8D7" w14:textId="77777777" w:rsidR="00E65594" w:rsidRDefault="00E65594" w:rsidP="00DE5D01">
            <w:pPr>
              <w:widowControl w:val="0"/>
              <w:jc w:val="center"/>
              <w:rPr>
                <w:sz w:val="16"/>
                <w:szCs w:val="16"/>
              </w:rPr>
            </w:pPr>
            <w:r>
              <w:rPr>
                <w:sz w:val="16"/>
                <w:szCs w:val="16"/>
              </w:rPr>
              <w:t>Charcoal</w:t>
            </w:r>
          </w:p>
        </w:tc>
        <w:tc>
          <w:tcPr>
            <w:tcW w:w="1005" w:type="dxa"/>
            <w:tcBorders>
              <w:top w:val="nil"/>
              <w:left w:val="nil"/>
              <w:bottom w:val="nil"/>
              <w:right w:val="nil"/>
            </w:tcBorders>
            <w:tcMar>
              <w:top w:w="40" w:type="dxa"/>
              <w:left w:w="40" w:type="dxa"/>
              <w:bottom w:w="40" w:type="dxa"/>
              <w:right w:w="40" w:type="dxa"/>
            </w:tcMar>
            <w:vAlign w:val="center"/>
          </w:tcPr>
          <w:p w14:paraId="481725E6" w14:textId="77777777" w:rsidR="00E65594" w:rsidRDefault="00E65594" w:rsidP="00DE5D01">
            <w:pPr>
              <w:widowControl w:val="0"/>
              <w:jc w:val="center"/>
              <w:rPr>
                <w:sz w:val="16"/>
                <w:szCs w:val="16"/>
              </w:rPr>
            </w:pPr>
            <w:r>
              <w:rPr>
                <w:sz w:val="16"/>
                <w:szCs w:val="16"/>
              </w:rPr>
              <w:t>690 ± 30</w:t>
            </w:r>
          </w:p>
        </w:tc>
        <w:tc>
          <w:tcPr>
            <w:tcW w:w="1575" w:type="dxa"/>
            <w:tcBorders>
              <w:top w:val="nil"/>
              <w:left w:val="nil"/>
              <w:bottom w:val="nil"/>
              <w:right w:val="nil"/>
            </w:tcBorders>
            <w:tcMar>
              <w:top w:w="40" w:type="dxa"/>
              <w:left w:w="40" w:type="dxa"/>
              <w:bottom w:w="40" w:type="dxa"/>
              <w:right w:w="40" w:type="dxa"/>
            </w:tcMar>
            <w:vAlign w:val="center"/>
          </w:tcPr>
          <w:p w14:paraId="3B15C192" w14:textId="77777777" w:rsidR="00E65594" w:rsidRDefault="00E65594" w:rsidP="00DE5D01">
            <w:pPr>
              <w:widowControl w:val="0"/>
              <w:jc w:val="center"/>
              <w:rPr>
                <w:sz w:val="16"/>
                <w:szCs w:val="16"/>
              </w:rPr>
            </w:pPr>
            <w:r>
              <w:rPr>
                <w:sz w:val="16"/>
                <w:szCs w:val="16"/>
              </w:rPr>
              <w:t>1272-1317 (65.5%)</w:t>
            </w:r>
          </w:p>
          <w:p w14:paraId="4CAFCFC9" w14:textId="77777777" w:rsidR="00E65594" w:rsidRDefault="00E65594" w:rsidP="00DE5D01">
            <w:pPr>
              <w:widowControl w:val="0"/>
              <w:jc w:val="center"/>
              <w:rPr>
                <w:sz w:val="16"/>
                <w:szCs w:val="16"/>
              </w:rPr>
            </w:pPr>
            <w:r>
              <w:rPr>
                <w:sz w:val="16"/>
                <w:szCs w:val="16"/>
              </w:rPr>
              <w:t>1360-1388 (29.9%)</w:t>
            </w:r>
          </w:p>
        </w:tc>
        <w:tc>
          <w:tcPr>
            <w:tcW w:w="1095" w:type="dxa"/>
            <w:tcBorders>
              <w:top w:val="nil"/>
              <w:left w:val="nil"/>
              <w:bottom w:val="nil"/>
              <w:right w:val="nil"/>
            </w:tcBorders>
            <w:tcMar>
              <w:top w:w="40" w:type="dxa"/>
              <w:left w:w="40" w:type="dxa"/>
              <w:bottom w:w="40" w:type="dxa"/>
              <w:right w:w="40" w:type="dxa"/>
            </w:tcMar>
            <w:vAlign w:val="center"/>
          </w:tcPr>
          <w:p w14:paraId="0FC33261" w14:textId="77777777" w:rsidR="00E65594" w:rsidRDefault="00E65594" w:rsidP="00DE5D01">
            <w:pPr>
              <w:widowControl w:val="0"/>
              <w:jc w:val="center"/>
              <w:rPr>
                <w:sz w:val="16"/>
                <w:szCs w:val="16"/>
              </w:rPr>
            </w:pPr>
            <w:r>
              <w:rPr>
                <w:sz w:val="16"/>
                <w:szCs w:val="16"/>
              </w:rPr>
              <w:t>1271-1389</w:t>
            </w:r>
          </w:p>
        </w:tc>
        <w:tc>
          <w:tcPr>
            <w:tcW w:w="1215" w:type="dxa"/>
            <w:tcBorders>
              <w:top w:val="nil"/>
              <w:left w:val="nil"/>
              <w:bottom w:val="nil"/>
              <w:right w:val="nil"/>
            </w:tcBorders>
            <w:tcMar>
              <w:top w:w="40" w:type="dxa"/>
              <w:left w:w="40" w:type="dxa"/>
              <w:bottom w:w="40" w:type="dxa"/>
              <w:right w:w="40" w:type="dxa"/>
            </w:tcMar>
            <w:vAlign w:val="center"/>
          </w:tcPr>
          <w:p w14:paraId="4E707D58" w14:textId="77777777" w:rsidR="00E65594" w:rsidRDefault="00E65594" w:rsidP="00DE5D01">
            <w:pPr>
              <w:widowControl w:val="0"/>
              <w:jc w:val="center"/>
              <w:rPr>
                <w:sz w:val="16"/>
                <w:szCs w:val="16"/>
              </w:rPr>
            </w:pPr>
            <w:r>
              <w:rPr>
                <w:sz w:val="16"/>
                <w:szCs w:val="16"/>
              </w:rPr>
              <w:t>91.77 ± 0.34</w:t>
            </w:r>
          </w:p>
        </w:tc>
        <w:tc>
          <w:tcPr>
            <w:tcW w:w="645" w:type="dxa"/>
            <w:tcBorders>
              <w:top w:val="nil"/>
              <w:left w:val="nil"/>
              <w:bottom w:val="nil"/>
              <w:right w:val="nil"/>
            </w:tcBorders>
            <w:tcMar>
              <w:top w:w="40" w:type="dxa"/>
              <w:left w:w="40" w:type="dxa"/>
              <w:bottom w:w="40" w:type="dxa"/>
              <w:right w:w="40" w:type="dxa"/>
            </w:tcMar>
            <w:vAlign w:val="center"/>
          </w:tcPr>
          <w:p w14:paraId="4C856518" w14:textId="77777777" w:rsidR="00E65594" w:rsidRDefault="00E65594" w:rsidP="00DE5D01">
            <w:pPr>
              <w:widowControl w:val="0"/>
              <w:jc w:val="center"/>
              <w:rPr>
                <w:sz w:val="16"/>
                <w:szCs w:val="16"/>
              </w:rPr>
            </w:pPr>
            <w:r>
              <w:rPr>
                <w:sz w:val="16"/>
                <w:szCs w:val="16"/>
              </w:rPr>
              <w:t>-25.4</w:t>
            </w:r>
          </w:p>
        </w:tc>
        <w:tc>
          <w:tcPr>
            <w:tcW w:w="555" w:type="dxa"/>
            <w:tcBorders>
              <w:top w:val="nil"/>
              <w:left w:val="nil"/>
              <w:bottom w:val="nil"/>
              <w:right w:val="nil"/>
            </w:tcBorders>
            <w:tcMar>
              <w:top w:w="40" w:type="dxa"/>
              <w:left w:w="40" w:type="dxa"/>
              <w:bottom w:w="40" w:type="dxa"/>
              <w:right w:w="40" w:type="dxa"/>
            </w:tcMar>
            <w:vAlign w:val="center"/>
          </w:tcPr>
          <w:p w14:paraId="3484388A" w14:textId="77777777" w:rsidR="00E65594" w:rsidRDefault="00E65594" w:rsidP="00DE5D01">
            <w:pPr>
              <w:widowControl w:val="0"/>
              <w:jc w:val="center"/>
              <w:rPr>
                <w:sz w:val="16"/>
                <w:szCs w:val="16"/>
              </w:rPr>
            </w:pPr>
            <w:r>
              <w:rPr>
                <w:sz w:val="16"/>
                <w:szCs w:val="16"/>
              </w:rPr>
              <w:t>-</w:t>
            </w:r>
          </w:p>
        </w:tc>
      </w:tr>
      <w:tr w:rsidR="00E65594" w14:paraId="52435203" w14:textId="77777777" w:rsidTr="00DE5D01">
        <w:trPr>
          <w:trHeight w:val="315"/>
        </w:trPr>
        <w:tc>
          <w:tcPr>
            <w:tcW w:w="645" w:type="dxa"/>
            <w:tcBorders>
              <w:top w:val="nil"/>
              <w:left w:val="nil"/>
              <w:bottom w:val="nil"/>
              <w:right w:val="nil"/>
            </w:tcBorders>
            <w:tcMar>
              <w:top w:w="40" w:type="dxa"/>
              <w:left w:w="40" w:type="dxa"/>
              <w:bottom w:w="40" w:type="dxa"/>
              <w:right w:w="40" w:type="dxa"/>
            </w:tcMar>
            <w:vAlign w:val="center"/>
          </w:tcPr>
          <w:p w14:paraId="0F89DC8A" w14:textId="77777777" w:rsidR="00E65594" w:rsidRDefault="00E65594" w:rsidP="00DE5D01">
            <w:pPr>
              <w:widowControl w:val="0"/>
              <w:jc w:val="center"/>
              <w:rPr>
                <w:sz w:val="16"/>
                <w:szCs w:val="16"/>
              </w:rPr>
            </w:pPr>
            <w:r>
              <w:rPr>
                <w:sz w:val="16"/>
                <w:szCs w:val="16"/>
              </w:rPr>
              <w:t>R33</w:t>
            </w:r>
          </w:p>
        </w:tc>
        <w:tc>
          <w:tcPr>
            <w:tcW w:w="705" w:type="dxa"/>
            <w:tcBorders>
              <w:top w:val="nil"/>
              <w:left w:val="nil"/>
              <w:bottom w:val="nil"/>
              <w:right w:val="nil"/>
            </w:tcBorders>
            <w:tcMar>
              <w:top w:w="40" w:type="dxa"/>
              <w:left w:w="40" w:type="dxa"/>
              <w:bottom w:w="40" w:type="dxa"/>
              <w:right w:w="40" w:type="dxa"/>
            </w:tcMar>
            <w:vAlign w:val="center"/>
          </w:tcPr>
          <w:p w14:paraId="36DE5E2B" w14:textId="77777777" w:rsidR="00E65594" w:rsidRDefault="00E65594" w:rsidP="00DE5D01">
            <w:pPr>
              <w:widowControl w:val="0"/>
              <w:jc w:val="center"/>
              <w:rPr>
                <w:sz w:val="16"/>
                <w:szCs w:val="16"/>
              </w:rPr>
            </w:pPr>
            <w:proofErr w:type="spellStart"/>
            <w:r>
              <w:rPr>
                <w:sz w:val="16"/>
                <w:szCs w:val="16"/>
              </w:rPr>
              <w:t>Agsu</w:t>
            </w:r>
            <w:proofErr w:type="spellEnd"/>
            <w:r>
              <w:rPr>
                <w:sz w:val="16"/>
                <w:szCs w:val="16"/>
              </w:rPr>
              <w:t xml:space="preserve"> T1</w:t>
            </w:r>
          </w:p>
        </w:tc>
        <w:tc>
          <w:tcPr>
            <w:tcW w:w="375" w:type="dxa"/>
            <w:tcBorders>
              <w:top w:val="nil"/>
              <w:left w:val="nil"/>
              <w:bottom w:val="nil"/>
              <w:right w:val="nil"/>
            </w:tcBorders>
            <w:tcMar>
              <w:top w:w="40" w:type="dxa"/>
              <w:left w:w="40" w:type="dxa"/>
              <w:bottom w:w="40" w:type="dxa"/>
              <w:right w:w="40" w:type="dxa"/>
            </w:tcMar>
            <w:vAlign w:val="center"/>
          </w:tcPr>
          <w:p w14:paraId="0BCF6EC4" w14:textId="77777777" w:rsidR="00E65594" w:rsidRDefault="00E65594" w:rsidP="00DE5D01">
            <w:pPr>
              <w:widowControl w:val="0"/>
              <w:jc w:val="center"/>
              <w:rPr>
                <w:sz w:val="16"/>
                <w:szCs w:val="16"/>
              </w:rPr>
            </w:pPr>
            <w:r>
              <w:rPr>
                <w:sz w:val="16"/>
                <w:szCs w:val="16"/>
              </w:rPr>
              <w:t>W2</w:t>
            </w:r>
          </w:p>
        </w:tc>
        <w:tc>
          <w:tcPr>
            <w:tcW w:w="600" w:type="dxa"/>
            <w:tcBorders>
              <w:top w:val="nil"/>
              <w:left w:val="nil"/>
              <w:bottom w:val="nil"/>
              <w:right w:val="nil"/>
            </w:tcBorders>
            <w:tcMar>
              <w:top w:w="40" w:type="dxa"/>
              <w:left w:w="40" w:type="dxa"/>
              <w:bottom w:w="40" w:type="dxa"/>
              <w:right w:w="40" w:type="dxa"/>
            </w:tcMar>
            <w:vAlign w:val="center"/>
          </w:tcPr>
          <w:p w14:paraId="2FD91232" w14:textId="77777777" w:rsidR="00E65594" w:rsidRDefault="00E65594" w:rsidP="00DE5D01">
            <w:pPr>
              <w:widowControl w:val="0"/>
              <w:jc w:val="center"/>
              <w:rPr>
                <w:sz w:val="16"/>
                <w:szCs w:val="16"/>
              </w:rPr>
            </w:pPr>
            <w:r>
              <w:rPr>
                <w:sz w:val="16"/>
                <w:szCs w:val="16"/>
              </w:rPr>
              <w:t>40.572</w:t>
            </w:r>
          </w:p>
        </w:tc>
        <w:tc>
          <w:tcPr>
            <w:tcW w:w="645" w:type="dxa"/>
            <w:tcBorders>
              <w:top w:val="nil"/>
              <w:left w:val="nil"/>
              <w:bottom w:val="nil"/>
              <w:right w:val="nil"/>
            </w:tcBorders>
            <w:shd w:val="clear" w:color="auto" w:fill="FFFFFF"/>
            <w:tcMar>
              <w:top w:w="40" w:type="dxa"/>
              <w:left w:w="40" w:type="dxa"/>
              <w:bottom w:w="40" w:type="dxa"/>
              <w:right w:w="40" w:type="dxa"/>
            </w:tcMar>
            <w:vAlign w:val="center"/>
          </w:tcPr>
          <w:p w14:paraId="359BDC76" w14:textId="77777777" w:rsidR="00E65594" w:rsidRDefault="00E65594" w:rsidP="00DE5D01">
            <w:pPr>
              <w:widowControl w:val="0"/>
              <w:jc w:val="center"/>
              <w:rPr>
                <w:sz w:val="16"/>
                <w:szCs w:val="16"/>
              </w:rPr>
            </w:pPr>
            <w:r>
              <w:rPr>
                <w:rFonts w:ascii="Roboto" w:eastAsia="Roboto" w:hAnsi="Roboto" w:cs="Roboto"/>
                <w:sz w:val="16"/>
                <w:szCs w:val="16"/>
              </w:rPr>
              <w:t>48.427</w:t>
            </w:r>
          </w:p>
        </w:tc>
        <w:tc>
          <w:tcPr>
            <w:tcW w:w="1035" w:type="dxa"/>
            <w:tcBorders>
              <w:top w:val="nil"/>
              <w:left w:val="nil"/>
              <w:bottom w:val="nil"/>
              <w:right w:val="nil"/>
            </w:tcBorders>
            <w:tcMar>
              <w:top w:w="40" w:type="dxa"/>
              <w:left w:w="40" w:type="dxa"/>
              <w:bottom w:w="40" w:type="dxa"/>
              <w:right w:w="40" w:type="dxa"/>
            </w:tcMar>
            <w:vAlign w:val="center"/>
          </w:tcPr>
          <w:p w14:paraId="37655B9B" w14:textId="77777777" w:rsidR="00E65594" w:rsidRDefault="00E65594" w:rsidP="00DE5D01">
            <w:pPr>
              <w:widowControl w:val="0"/>
              <w:jc w:val="center"/>
              <w:rPr>
                <w:sz w:val="16"/>
                <w:szCs w:val="16"/>
              </w:rPr>
            </w:pPr>
            <w:r>
              <w:rPr>
                <w:sz w:val="16"/>
                <w:szCs w:val="16"/>
              </w:rPr>
              <w:t>Plant Material</w:t>
            </w:r>
          </w:p>
        </w:tc>
        <w:tc>
          <w:tcPr>
            <w:tcW w:w="1005" w:type="dxa"/>
            <w:tcBorders>
              <w:top w:val="nil"/>
              <w:left w:val="nil"/>
              <w:bottom w:val="nil"/>
              <w:right w:val="nil"/>
            </w:tcBorders>
            <w:tcMar>
              <w:top w:w="40" w:type="dxa"/>
              <w:left w:w="40" w:type="dxa"/>
              <w:bottom w:w="40" w:type="dxa"/>
              <w:right w:w="40" w:type="dxa"/>
            </w:tcMar>
            <w:vAlign w:val="center"/>
          </w:tcPr>
          <w:p w14:paraId="467820C0" w14:textId="77777777" w:rsidR="00E65594" w:rsidRDefault="00E65594" w:rsidP="00DE5D01">
            <w:pPr>
              <w:widowControl w:val="0"/>
              <w:jc w:val="center"/>
              <w:rPr>
                <w:sz w:val="16"/>
                <w:szCs w:val="16"/>
              </w:rPr>
            </w:pPr>
            <w:r>
              <w:rPr>
                <w:sz w:val="16"/>
                <w:szCs w:val="16"/>
              </w:rPr>
              <w:t>-150 ± 30</w:t>
            </w:r>
          </w:p>
        </w:tc>
        <w:tc>
          <w:tcPr>
            <w:tcW w:w="1575" w:type="dxa"/>
            <w:tcBorders>
              <w:top w:val="nil"/>
              <w:left w:val="nil"/>
              <w:bottom w:val="nil"/>
              <w:right w:val="nil"/>
            </w:tcBorders>
            <w:tcMar>
              <w:top w:w="40" w:type="dxa"/>
              <w:left w:w="40" w:type="dxa"/>
              <w:bottom w:w="40" w:type="dxa"/>
              <w:right w:w="40" w:type="dxa"/>
            </w:tcMar>
            <w:vAlign w:val="center"/>
          </w:tcPr>
          <w:p w14:paraId="098D3E9E" w14:textId="77777777" w:rsidR="00E65594" w:rsidRDefault="00E65594" w:rsidP="00DE5D01">
            <w:pPr>
              <w:widowControl w:val="0"/>
              <w:jc w:val="center"/>
              <w:rPr>
                <w:sz w:val="16"/>
                <w:szCs w:val="16"/>
              </w:rPr>
            </w:pPr>
            <w:r>
              <w:rPr>
                <w:sz w:val="16"/>
                <w:szCs w:val="16"/>
              </w:rPr>
              <w:t>1954-1956 (95.4%)</w:t>
            </w:r>
          </w:p>
        </w:tc>
        <w:tc>
          <w:tcPr>
            <w:tcW w:w="1095" w:type="dxa"/>
            <w:tcBorders>
              <w:top w:val="nil"/>
              <w:left w:val="nil"/>
              <w:bottom w:val="nil"/>
              <w:right w:val="nil"/>
            </w:tcBorders>
            <w:tcMar>
              <w:top w:w="40" w:type="dxa"/>
              <w:left w:w="40" w:type="dxa"/>
              <w:bottom w:w="40" w:type="dxa"/>
              <w:right w:w="40" w:type="dxa"/>
            </w:tcMar>
            <w:vAlign w:val="center"/>
          </w:tcPr>
          <w:p w14:paraId="0AA7F736" w14:textId="77777777" w:rsidR="00E65594" w:rsidRDefault="00E65594" w:rsidP="00DE5D01">
            <w:pPr>
              <w:widowControl w:val="0"/>
              <w:jc w:val="center"/>
              <w:rPr>
                <w:sz w:val="16"/>
                <w:szCs w:val="16"/>
              </w:rPr>
            </w:pPr>
            <w:r>
              <w:rPr>
                <w:sz w:val="16"/>
                <w:szCs w:val="16"/>
              </w:rPr>
              <w:t>-</w:t>
            </w:r>
          </w:p>
        </w:tc>
        <w:tc>
          <w:tcPr>
            <w:tcW w:w="1215" w:type="dxa"/>
            <w:tcBorders>
              <w:top w:val="nil"/>
              <w:left w:val="nil"/>
              <w:bottom w:val="nil"/>
              <w:right w:val="nil"/>
            </w:tcBorders>
            <w:tcMar>
              <w:top w:w="40" w:type="dxa"/>
              <w:left w:w="40" w:type="dxa"/>
              <w:bottom w:w="40" w:type="dxa"/>
              <w:right w:w="40" w:type="dxa"/>
            </w:tcMar>
            <w:vAlign w:val="center"/>
          </w:tcPr>
          <w:p w14:paraId="68C394DA" w14:textId="77777777" w:rsidR="00E65594" w:rsidRDefault="00E65594" w:rsidP="00DE5D01">
            <w:pPr>
              <w:widowControl w:val="0"/>
              <w:jc w:val="center"/>
              <w:rPr>
                <w:sz w:val="16"/>
                <w:szCs w:val="16"/>
              </w:rPr>
            </w:pPr>
            <w:r>
              <w:rPr>
                <w:sz w:val="16"/>
                <w:szCs w:val="16"/>
              </w:rPr>
              <w:t>101.88 ± 0.38</w:t>
            </w:r>
          </w:p>
        </w:tc>
        <w:tc>
          <w:tcPr>
            <w:tcW w:w="645" w:type="dxa"/>
            <w:tcBorders>
              <w:top w:val="nil"/>
              <w:left w:val="nil"/>
              <w:bottom w:val="nil"/>
              <w:right w:val="nil"/>
            </w:tcBorders>
            <w:tcMar>
              <w:top w:w="40" w:type="dxa"/>
              <w:left w:w="40" w:type="dxa"/>
              <w:bottom w:w="40" w:type="dxa"/>
              <w:right w:w="40" w:type="dxa"/>
            </w:tcMar>
            <w:vAlign w:val="center"/>
          </w:tcPr>
          <w:p w14:paraId="32325EEA" w14:textId="77777777" w:rsidR="00E65594" w:rsidRDefault="00E65594" w:rsidP="00DE5D01">
            <w:pPr>
              <w:widowControl w:val="0"/>
              <w:jc w:val="center"/>
              <w:rPr>
                <w:sz w:val="16"/>
                <w:szCs w:val="16"/>
              </w:rPr>
            </w:pPr>
            <w:r>
              <w:rPr>
                <w:sz w:val="16"/>
                <w:szCs w:val="16"/>
              </w:rPr>
              <w:t>-29.0</w:t>
            </w:r>
          </w:p>
        </w:tc>
        <w:tc>
          <w:tcPr>
            <w:tcW w:w="555" w:type="dxa"/>
            <w:tcBorders>
              <w:top w:val="nil"/>
              <w:left w:val="nil"/>
              <w:bottom w:val="nil"/>
              <w:right w:val="nil"/>
            </w:tcBorders>
            <w:tcMar>
              <w:top w:w="40" w:type="dxa"/>
              <w:left w:w="40" w:type="dxa"/>
              <w:bottom w:w="40" w:type="dxa"/>
              <w:right w:w="40" w:type="dxa"/>
            </w:tcMar>
            <w:vAlign w:val="center"/>
          </w:tcPr>
          <w:p w14:paraId="51700A2D" w14:textId="77777777" w:rsidR="00E65594" w:rsidRDefault="00E65594" w:rsidP="00DE5D01">
            <w:pPr>
              <w:widowControl w:val="0"/>
              <w:jc w:val="center"/>
              <w:rPr>
                <w:sz w:val="16"/>
                <w:szCs w:val="16"/>
              </w:rPr>
            </w:pPr>
            <w:r>
              <w:rPr>
                <w:sz w:val="16"/>
                <w:szCs w:val="16"/>
              </w:rPr>
              <w:t>-</w:t>
            </w:r>
          </w:p>
        </w:tc>
      </w:tr>
      <w:tr w:rsidR="00E65594" w14:paraId="2C2A7AEE" w14:textId="77777777" w:rsidTr="00DE5D01">
        <w:trPr>
          <w:trHeight w:val="315"/>
        </w:trPr>
        <w:tc>
          <w:tcPr>
            <w:tcW w:w="645" w:type="dxa"/>
            <w:tcBorders>
              <w:top w:val="nil"/>
              <w:left w:val="nil"/>
              <w:bottom w:val="nil"/>
              <w:right w:val="nil"/>
            </w:tcBorders>
            <w:tcMar>
              <w:top w:w="40" w:type="dxa"/>
              <w:left w:w="40" w:type="dxa"/>
              <w:bottom w:w="40" w:type="dxa"/>
              <w:right w:w="40" w:type="dxa"/>
            </w:tcMar>
            <w:vAlign w:val="center"/>
          </w:tcPr>
          <w:p w14:paraId="7BAE2BFB" w14:textId="77777777" w:rsidR="00E65594" w:rsidRDefault="00E65594" w:rsidP="00DE5D01">
            <w:pPr>
              <w:widowControl w:val="0"/>
              <w:jc w:val="center"/>
              <w:rPr>
                <w:sz w:val="16"/>
                <w:szCs w:val="16"/>
              </w:rPr>
            </w:pPr>
            <w:r>
              <w:rPr>
                <w:sz w:val="16"/>
                <w:szCs w:val="16"/>
              </w:rPr>
              <w:t>R35</w:t>
            </w:r>
          </w:p>
        </w:tc>
        <w:tc>
          <w:tcPr>
            <w:tcW w:w="705" w:type="dxa"/>
            <w:tcBorders>
              <w:top w:val="nil"/>
              <w:left w:val="nil"/>
              <w:bottom w:val="nil"/>
              <w:right w:val="nil"/>
            </w:tcBorders>
            <w:tcMar>
              <w:top w:w="40" w:type="dxa"/>
              <w:left w:w="40" w:type="dxa"/>
              <w:bottom w:w="40" w:type="dxa"/>
              <w:right w:w="40" w:type="dxa"/>
            </w:tcMar>
            <w:vAlign w:val="center"/>
          </w:tcPr>
          <w:p w14:paraId="63DA35CA" w14:textId="77777777" w:rsidR="00E65594" w:rsidRDefault="00E65594" w:rsidP="00DE5D01">
            <w:pPr>
              <w:widowControl w:val="0"/>
              <w:jc w:val="center"/>
              <w:rPr>
                <w:sz w:val="16"/>
                <w:szCs w:val="16"/>
              </w:rPr>
            </w:pPr>
            <w:proofErr w:type="spellStart"/>
            <w:r>
              <w:rPr>
                <w:sz w:val="16"/>
                <w:szCs w:val="16"/>
              </w:rPr>
              <w:t>Agsu</w:t>
            </w:r>
            <w:proofErr w:type="spellEnd"/>
            <w:r>
              <w:rPr>
                <w:sz w:val="16"/>
                <w:szCs w:val="16"/>
              </w:rPr>
              <w:t xml:space="preserve"> T1</w:t>
            </w:r>
          </w:p>
        </w:tc>
        <w:tc>
          <w:tcPr>
            <w:tcW w:w="375" w:type="dxa"/>
            <w:tcBorders>
              <w:top w:val="nil"/>
              <w:left w:val="nil"/>
              <w:bottom w:val="nil"/>
              <w:right w:val="nil"/>
            </w:tcBorders>
            <w:tcMar>
              <w:top w:w="40" w:type="dxa"/>
              <w:left w:w="40" w:type="dxa"/>
              <w:bottom w:w="40" w:type="dxa"/>
              <w:right w:w="40" w:type="dxa"/>
            </w:tcMar>
            <w:vAlign w:val="center"/>
          </w:tcPr>
          <w:p w14:paraId="454E7F18" w14:textId="77777777" w:rsidR="00E65594" w:rsidRDefault="00E65594" w:rsidP="00DE5D01">
            <w:pPr>
              <w:widowControl w:val="0"/>
              <w:jc w:val="center"/>
              <w:rPr>
                <w:sz w:val="16"/>
                <w:szCs w:val="16"/>
              </w:rPr>
            </w:pPr>
            <w:r>
              <w:rPr>
                <w:sz w:val="16"/>
                <w:szCs w:val="16"/>
              </w:rPr>
              <w:t>W2</w:t>
            </w:r>
          </w:p>
        </w:tc>
        <w:tc>
          <w:tcPr>
            <w:tcW w:w="600" w:type="dxa"/>
            <w:tcBorders>
              <w:top w:val="nil"/>
              <w:left w:val="nil"/>
              <w:bottom w:val="nil"/>
              <w:right w:val="nil"/>
            </w:tcBorders>
            <w:tcMar>
              <w:top w:w="40" w:type="dxa"/>
              <w:left w:w="40" w:type="dxa"/>
              <w:bottom w:w="40" w:type="dxa"/>
              <w:right w:w="40" w:type="dxa"/>
            </w:tcMar>
            <w:vAlign w:val="center"/>
          </w:tcPr>
          <w:p w14:paraId="6F6E8718" w14:textId="77777777" w:rsidR="00E65594" w:rsidRDefault="00E65594" w:rsidP="00DE5D01">
            <w:pPr>
              <w:widowControl w:val="0"/>
              <w:jc w:val="center"/>
              <w:rPr>
                <w:sz w:val="16"/>
                <w:szCs w:val="16"/>
              </w:rPr>
            </w:pPr>
            <w:r>
              <w:rPr>
                <w:sz w:val="16"/>
                <w:szCs w:val="16"/>
              </w:rPr>
              <w:t>40.572</w:t>
            </w:r>
          </w:p>
        </w:tc>
        <w:tc>
          <w:tcPr>
            <w:tcW w:w="645" w:type="dxa"/>
            <w:tcBorders>
              <w:top w:val="nil"/>
              <w:left w:val="nil"/>
              <w:bottom w:val="nil"/>
              <w:right w:val="nil"/>
            </w:tcBorders>
            <w:shd w:val="clear" w:color="auto" w:fill="FFFFFF"/>
            <w:tcMar>
              <w:top w:w="40" w:type="dxa"/>
              <w:left w:w="40" w:type="dxa"/>
              <w:bottom w:w="40" w:type="dxa"/>
              <w:right w:w="40" w:type="dxa"/>
            </w:tcMar>
            <w:vAlign w:val="center"/>
          </w:tcPr>
          <w:p w14:paraId="7E419994" w14:textId="77777777" w:rsidR="00E65594" w:rsidRDefault="00E65594" w:rsidP="00DE5D01">
            <w:pPr>
              <w:widowControl w:val="0"/>
              <w:jc w:val="center"/>
              <w:rPr>
                <w:sz w:val="16"/>
                <w:szCs w:val="16"/>
              </w:rPr>
            </w:pPr>
            <w:r>
              <w:rPr>
                <w:rFonts w:ascii="Roboto" w:eastAsia="Roboto" w:hAnsi="Roboto" w:cs="Roboto"/>
                <w:sz w:val="16"/>
                <w:szCs w:val="16"/>
              </w:rPr>
              <w:t>48.427</w:t>
            </w:r>
          </w:p>
        </w:tc>
        <w:tc>
          <w:tcPr>
            <w:tcW w:w="1035" w:type="dxa"/>
            <w:tcBorders>
              <w:top w:val="nil"/>
              <w:left w:val="nil"/>
              <w:bottom w:val="nil"/>
              <w:right w:val="nil"/>
            </w:tcBorders>
            <w:tcMar>
              <w:top w:w="40" w:type="dxa"/>
              <w:left w:w="40" w:type="dxa"/>
              <w:bottom w:w="40" w:type="dxa"/>
              <w:right w:w="40" w:type="dxa"/>
            </w:tcMar>
            <w:vAlign w:val="center"/>
          </w:tcPr>
          <w:p w14:paraId="35ADB854" w14:textId="77777777" w:rsidR="00E65594" w:rsidRDefault="00E65594" w:rsidP="00DE5D01">
            <w:pPr>
              <w:widowControl w:val="0"/>
              <w:jc w:val="center"/>
              <w:rPr>
                <w:sz w:val="16"/>
                <w:szCs w:val="16"/>
              </w:rPr>
            </w:pPr>
            <w:r>
              <w:rPr>
                <w:sz w:val="16"/>
                <w:szCs w:val="16"/>
              </w:rPr>
              <w:t>Charcoal</w:t>
            </w:r>
          </w:p>
        </w:tc>
        <w:tc>
          <w:tcPr>
            <w:tcW w:w="1005" w:type="dxa"/>
            <w:tcBorders>
              <w:top w:val="nil"/>
              <w:left w:val="nil"/>
              <w:bottom w:val="nil"/>
              <w:right w:val="nil"/>
            </w:tcBorders>
            <w:tcMar>
              <w:top w:w="40" w:type="dxa"/>
              <w:left w:w="40" w:type="dxa"/>
              <w:bottom w:w="40" w:type="dxa"/>
              <w:right w:w="40" w:type="dxa"/>
            </w:tcMar>
            <w:vAlign w:val="center"/>
          </w:tcPr>
          <w:p w14:paraId="64854834" w14:textId="77777777" w:rsidR="00E65594" w:rsidRDefault="00E65594" w:rsidP="00DE5D01">
            <w:pPr>
              <w:widowControl w:val="0"/>
              <w:jc w:val="center"/>
              <w:rPr>
                <w:sz w:val="16"/>
                <w:szCs w:val="16"/>
              </w:rPr>
            </w:pPr>
            <w:r>
              <w:rPr>
                <w:sz w:val="16"/>
                <w:szCs w:val="16"/>
              </w:rPr>
              <w:t>160 ± 30</w:t>
            </w:r>
          </w:p>
        </w:tc>
        <w:tc>
          <w:tcPr>
            <w:tcW w:w="1575" w:type="dxa"/>
            <w:tcBorders>
              <w:top w:val="nil"/>
              <w:left w:val="nil"/>
              <w:bottom w:val="nil"/>
              <w:right w:val="nil"/>
            </w:tcBorders>
            <w:tcMar>
              <w:top w:w="40" w:type="dxa"/>
              <w:left w:w="40" w:type="dxa"/>
              <w:bottom w:w="40" w:type="dxa"/>
              <w:right w:w="40" w:type="dxa"/>
            </w:tcMar>
            <w:vAlign w:val="center"/>
          </w:tcPr>
          <w:p w14:paraId="682FDCFD" w14:textId="77777777" w:rsidR="00E65594" w:rsidRDefault="00E65594" w:rsidP="00DE5D01">
            <w:pPr>
              <w:widowControl w:val="0"/>
              <w:jc w:val="center"/>
              <w:rPr>
                <w:sz w:val="16"/>
                <w:szCs w:val="16"/>
              </w:rPr>
            </w:pPr>
            <w:r>
              <w:rPr>
                <w:sz w:val="16"/>
                <w:szCs w:val="16"/>
              </w:rPr>
              <w:t>1719-1786 (31.6%)</w:t>
            </w:r>
          </w:p>
          <w:p w14:paraId="0F3DB78C" w14:textId="77777777" w:rsidR="00E65594" w:rsidRDefault="00E65594" w:rsidP="00DE5D01">
            <w:pPr>
              <w:widowControl w:val="0"/>
              <w:jc w:val="center"/>
              <w:rPr>
                <w:sz w:val="16"/>
                <w:szCs w:val="16"/>
              </w:rPr>
            </w:pPr>
            <w:r>
              <w:rPr>
                <w:sz w:val="16"/>
                <w:szCs w:val="16"/>
              </w:rPr>
              <w:t>1906-&gt;1950(19.4%)</w:t>
            </w:r>
          </w:p>
          <w:p w14:paraId="4DB71CF9" w14:textId="77777777" w:rsidR="00E65594" w:rsidRDefault="00E65594" w:rsidP="00DE5D01">
            <w:pPr>
              <w:widowControl w:val="0"/>
              <w:jc w:val="center"/>
              <w:rPr>
                <w:sz w:val="16"/>
                <w:szCs w:val="16"/>
              </w:rPr>
            </w:pPr>
            <w:r>
              <w:rPr>
                <w:sz w:val="16"/>
                <w:szCs w:val="16"/>
              </w:rPr>
              <w:t>1832-1892 (17.9%)</w:t>
            </w:r>
          </w:p>
          <w:p w14:paraId="04DF4F42" w14:textId="77777777" w:rsidR="00E65594" w:rsidRDefault="00E65594" w:rsidP="00DE5D01">
            <w:pPr>
              <w:widowControl w:val="0"/>
              <w:jc w:val="center"/>
              <w:rPr>
                <w:sz w:val="16"/>
                <w:szCs w:val="16"/>
              </w:rPr>
            </w:pPr>
            <w:r>
              <w:rPr>
                <w:sz w:val="16"/>
                <w:szCs w:val="16"/>
              </w:rPr>
              <w:t>1664-1708 (16.7%)</w:t>
            </w:r>
          </w:p>
          <w:p w14:paraId="05F03F71" w14:textId="77777777" w:rsidR="00E65594" w:rsidRDefault="00E65594" w:rsidP="00DE5D01">
            <w:pPr>
              <w:widowControl w:val="0"/>
              <w:jc w:val="center"/>
              <w:rPr>
                <w:sz w:val="16"/>
                <w:szCs w:val="16"/>
              </w:rPr>
            </w:pPr>
            <w:r>
              <w:rPr>
                <w:sz w:val="16"/>
                <w:szCs w:val="16"/>
              </w:rPr>
              <w:t>1792-1819 (9.8%)</w:t>
            </w:r>
          </w:p>
        </w:tc>
        <w:tc>
          <w:tcPr>
            <w:tcW w:w="1095" w:type="dxa"/>
            <w:tcBorders>
              <w:top w:val="nil"/>
              <w:left w:val="nil"/>
              <w:bottom w:val="nil"/>
              <w:right w:val="nil"/>
            </w:tcBorders>
            <w:tcMar>
              <w:top w:w="40" w:type="dxa"/>
              <w:left w:w="40" w:type="dxa"/>
              <w:bottom w:w="40" w:type="dxa"/>
              <w:right w:w="40" w:type="dxa"/>
            </w:tcMar>
            <w:vAlign w:val="center"/>
          </w:tcPr>
          <w:p w14:paraId="6CBE88D2" w14:textId="77777777" w:rsidR="00E65594" w:rsidRDefault="00E65594" w:rsidP="00DE5D01">
            <w:pPr>
              <w:widowControl w:val="0"/>
              <w:jc w:val="center"/>
              <w:rPr>
                <w:sz w:val="16"/>
                <w:szCs w:val="16"/>
              </w:rPr>
            </w:pPr>
            <w:r>
              <w:rPr>
                <w:sz w:val="16"/>
                <w:szCs w:val="16"/>
              </w:rPr>
              <w:t>1741-1948</w:t>
            </w:r>
          </w:p>
        </w:tc>
        <w:tc>
          <w:tcPr>
            <w:tcW w:w="1215" w:type="dxa"/>
            <w:tcBorders>
              <w:top w:val="nil"/>
              <w:left w:val="nil"/>
              <w:bottom w:val="nil"/>
              <w:right w:val="nil"/>
            </w:tcBorders>
            <w:tcMar>
              <w:top w:w="40" w:type="dxa"/>
              <w:left w:w="40" w:type="dxa"/>
              <w:bottom w:w="40" w:type="dxa"/>
              <w:right w:w="40" w:type="dxa"/>
            </w:tcMar>
            <w:vAlign w:val="center"/>
          </w:tcPr>
          <w:p w14:paraId="6493D806" w14:textId="77777777" w:rsidR="00E65594" w:rsidRDefault="00E65594" w:rsidP="00DE5D01">
            <w:pPr>
              <w:widowControl w:val="0"/>
              <w:jc w:val="center"/>
              <w:rPr>
                <w:sz w:val="16"/>
                <w:szCs w:val="16"/>
              </w:rPr>
            </w:pPr>
            <w:r>
              <w:rPr>
                <w:sz w:val="16"/>
                <w:szCs w:val="16"/>
              </w:rPr>
              <w:t>98.03 ± 0.37</w:t>
            </w:r>
          </w:p>
        </w:tc>
        <w:tc>
          <w:tcPr>
            <w:tcW w:w="645" w:type="dxa"/>
            <w:tcBorders>
              <w:top w:val="nil"/>
              <w:left w:val="nil"/>
              <w:bottom w:val="nil"/>
              <w:right w:val="nil"/>
            </w:tcBorders>
            <w:tcMar>
              <w:top w:w="40" w:type="dxa"/>
              <w:left w:w="40" w:type="dxa"/>
              <w:bottom w:w="40" w:type="dxa"/>
              <w:right w:w="40" w:type="dxa"/>
            </w:tcMar>
            <w:vAlign w:val="center"/>
          </w:tcPr>
          <w:p w14:paraId="16D34236" w14:textId="77777777" w:rsidR="00E65594" w:rsidRDefault="00E65594" w:rsidP="00DE5D01">
            <w:pPr>
              <w:widowControl w:val="0"/>
              <w:jc w:val="center"/>
              <w:rPr>
                <w:sz w:val="16"/>
                <w:szCs w:val="16"/>
              </w:rPr>
            </w:pPr>
            <w:r>
              <w:rPr>
                <w:sz w:val="16"/>
                <w:szCs w:val="16"/>
              </w:rPr>
              <w:t>-25.6</w:t>
            </w:r>
          </w:p>
        </w:tc>
        <w:tc>
          <w:tcPr>
            <w:tcW w:w="555" w:type="dxa"/>
            <w:tcBorders>
              <w:top w:val="nil"/>
              <w:left w:val="nil"/>
              <w:bottom w:val="nil"/>
              <w:right w:val="nil"/>
            </w:tcBorders>
            <w:tcMar>
              <w:top w:w="40" w:type="dxa"/>
              <w:left w:w="40" w:type="dxa"/>
              <w:bottom w:w="40" w:type="dxa"/>
              <w:right w:w="40" w:type="dxa"/>
            </w:tcMar>
            <w:vAlign w:val="center"/>
          </w:tcPr>
          <w:p w14:paraId="419FD7E6" w14:textId="77777777" w:rsidR="00E65594" w:rsidRDefault="00E65594" w:rsidP="00DE5D01">
            <w:pPr>
              <w:widowControl w:val="0"/>
              <w:jc w:val="center"/>
              <w:rPr>
                <w:sz w:val="16"/>
                <w:szCs w:val="16"/>
              </w:rPr>
            </w:pPr>
            <w:r>
              <w:rPr>
                <w:sz w:val="16"/>
                <w:szCs w:val="16"/>
              </w:rPr>
              <w:t>-</w:t>
            </w:r>
          </w:p>
        </w:tc>
      </w:tr>
      <w:tr w:rsidR="00E65594" w14:paraId="4CC05F3A" w14:textId="77777777" w:rsidTr="00DE5D01">
        <w:trPr>
          <w:trHeight w:val="315"/>
        </w:trPr>
        <w:tc>
          <w:tcPr>
            <w:tcW w:w="645" w:type="dxa"/>
            <w:tcBorders>
              <w:top w:val="nil"/>
              <w:left w:val="nil"/>
              <w:bottom w:val="nil"/>
              <w:right w:val="nil"/>
            </w:tcBorders>
            <w:tcMar>
              <w:top w:w="40" w:type="dxa"/>
              <w:left w:w="40" w:type="dxa"/>
              <w:bottom w:w="40" w:type="dxa"/>
              <w:right w:w="40" w:type="dxa"/>
            </w:tcMar>
            <w:vAlign w:val="center"/>
          </w:tcPr>
          <w:p w14:paraId="74BAD745" w14:textId="77777777" w:rsidR="00E65594" w:rsidRDefault="00E65594" w:rsidP="00DE5D01">
            <w:pPr>
              <w:widowControl w:val="0"/>
              <w:jc w:val="center"/>
              <w:rPr>
                <w:sz w:val="16"/>
                <w:szCs w:val="16"/>
              </w:rPr>
            </w:pPr>
            <w:r>
              <w:rPr>
                <w:sz w:val="16"/>
                <w:szCs w:val="16"/>
              </w:rPr>
              <w:t>R37</w:t>
            </w:r>
          </w:p>
        </w:tc>
        <w:tc>
          <w:tcPr>
            <w:tcW w:w="705" w:type="dxa"/>
            <w:tcBorders>
              <w:top w:val="nil"/>
              <w:left w:val="nil"/>
              <w:bottom w:val="nil"/>
              <w:right w:val="nil"/>
            </w:tcBorders>
            <w:tcMar>
              <w:top w:w="40" w:type="dxa"/>
              <w:left w:w="40" w:type="dxa"/>
              <w:bottom w:w="40" w:type="dxa"/>
              <w:right w:w="40" w:type="dxa"/>
            </w:tcMar>
            <w:vAlign w:val="center"/>
          </w:tcPr>
          <w:p w14:paraId="3EE177F7" w14:textId="77777777" w:rsidR="00E65594" w:rsidRDefault="00E65594" w:rsidP="00DE5D01">
            <w:pPr>
              <w:widowControl w:val="0"/>
              <w:jc w:val="center"/>
              <w:rPr>
                <w:sz w:val="16"/>
                <w:szCs w:val="16"/>
              </w:rPr>
            </w:pPr>
            <w:proofErr w:type="spellStart"/>
            <w:r>
              <w:rPr>
                <w:sz w:val="16"/>
                <w:szCs w:val="16"/>
              </w:rPr>
              <w:t>Agsu</w:t>
            </w:r>
            <w:proofErr w:type="spellEnd"/>
            <w:r>
              <w:rPr>
                <w:sz w:val="16"/>
                <w:szCs w:val="16"/>
              </w:rPr>
              <w:t xml:space="preserve"> T1</w:t>
            </w:r>
          </w:p>
        </w:tc>
        <w:tc>
          <w:tcPr>
            <w:tcW w:w="375" w:type="dxa"/>
            <w:tcBorders>
              <w:top w:val="nil"/>
              <w:left w:val="nil"/>
              <w:bottom w:val="nil"/>
              <w:right w:val="nil"/>
            </w:tcBorders>
            <w:tcMar>
              <w:top w:w="40" w:type="dxa"/>
              <w:left w:w="40" w:type="dxa"/>
              <w:bottom w:w="40" w:type="dxa"/>
              <w:right w:w="40" w:type="dxa"/>
            </w:tcMar>
            <w:vAlign w:val="center"/>
          </w:tcPr>
          <w:p w14:paraId="6AC408FB" w14:textId="77777777" w:rsidR="00E65594" w:rsidRDefault="00E65594" w:rsidP="00DE5D01">
            <w:pPr>
              <w:widowControl w:val="0"/>
              <w:jc w:val="center"/>
              <w:rPr>
                <w:sz w:val="16"/>
                <w:szCs w:val="16"/>
              </w:rPr>
            </w:pPr>
            <w:r>
              <w:rPr>
                <w:sz w:val="16"/>
                <w:szCs w:val="16"/>
              </w:rPr>
              <w:t>U2</w:t>
            </w:r>
          </w:p>
        </w:tc>
        <w:tc>
          <w:tcPr>
            <w:tcW w:w="600" w:type="dxa"/>
            <w:tcBorders>
              <w:top w:val="nil"/>
              <w:left w:val="nil"/>
              <w:bottom w:val="nil"/>
              <w:right w:val="nil"/>
            </w:tcBorders>
            <w:tcMar>
              <w:top w:w="40" w:type="dxa"/>
              <w:left w:w="40" w:type="dxa"/>
              <w:bottom w:w="40" w:type="dxa"/>
              <w:right w:w="40" w:type="dxa"/>
            </w:tcMar>
            <w:vAlign w:val="center"/>
          </w:tcPr>
          <w:p w14:paraId="7D99859B" w14:textId="77777777" w:rsidR="00E65594" w:rsidRDefault="00E65594" w:rsidP="00DE5D01">
            <w:pPr>
              <w:widowControl w:val="0"/>
              <w:jc w:val="center"/>
              <w:rPr>
                <w:sz w:val="16"/>
                <w:szCs w:val="16"/>
              </w:rPr>
            </w:pPr>
            <w:r>
              <w:rPr>
                <w:sz w:val="16"/>
                <w:szCs w:val="16"/>
              </w:rPr>
              <w:t>40.572</w:t>
            </w:r>
          </w:p>
        </w:tc>
        <w:tc>
          <w:tcPr>
            <w:tcW w:w="645" w:type="dxa"/>
            <w:tcBorders>
              <w:top w:val="nil"/>
              <w:left w:val="nil"/>
              <w:bottom w:val="nil"/>
              <w:right w:val="nil"/>
            </w:tcBorders>
            <w:shd w:val="clear" w:color="auto" w:fill="FFFFFF"/>
            <w:tcMar>
              <w:top w:w="40" w:type="dxa"/>
              <w:left w:w="40" w:type="dxa"/>
              <w:bottom w:w="40" w:type="dxa"/>
              <w:right w:w="40" w:type="dxa"/>
            </w:tcMar>
            <w:vAlign w:val="center"/>
          </w:tcPr>
          <w:p w14:paraId="05A79841" w14:textId="77777777" w:rsidR="00E65594" w:rsidRDefault="00E65594" w:rsidP="00DE5D01">
            <w:pPr>
              <w:widowControl w:val="0"/>
              <w:jc w:val="center"/>
              <w:rPr>
                <w:sz w:val="16"/>
                <w:szCs w:val="16"/>
              </w:rPr>
            </w:pPr>
            <w:r>
              <w:rPr>
                <w:rFonts w:ascii="Roboto" w:eastAsia="Roboto" w:hAnsi="Roboto" w:cs="Roboto"/>
                <w:sz w:val="16"/>
                <w:szCs w:val="16"/>
              </w:rPr>
              <w:t>48.427</w:t>
            </w:r>
          </w:p>
        </w:tc>
        <w:tc>
          <w:tcPr>
            <w:tcW w:w="1035" w:type="dxa"/>
            <w:tcBorders>
              <w:top w:val="nil"/>
              <w:left w:val="nil"/>
              <w:bottom w:val="nil"/>
              <w:right w:val="nil"/>
            </w:tcBorders>
            <w:tcMar>
              <w:top w:w="40" w:type="dxa"/>
              <w:left w:w="40" w:type="dxa"/>
              <w:bottom w:w="40" w:type="dxa"/>
              <w:right w:w="40" w:type="dxa"/>
            </w:tcMar>
            <w:vAlign w:val="center"/>
          </w:tcPr>
          <w:p w14:paraId="09889C5B" w14:textId="77777777" w:rsidR="00E65594" w:rsidRDefault="00E65594" w:rsidP="00DE5D01">
            <w:pPr>
              <w:widowControl w:val="0"/>
              <w:jc w:val="center"/>
              <w:rPr>
                <w:sz w:val="16"/>
                <w:szCs w:val="16"/>
              </w:rPr>
            </w:pPr>
            <w:r>
              <w:rPr>
                <w:sz w:val="16"/>
                <w:szCs w:val="16"/>
              </w:rPr>
              <w:t>Charcoal</w:t>
            </w:r>
          </w:p>
        </w:tc>
        <w:tc>
          <w:tcPr>
            <w:tcW w:w="1005" w:type="dxa"/>
            <w:tcBorders>
              <w:top w:val="nil"/>
              <w:left w:val="nil"/>
              <w:bottom w:val="nil"/>
              <w:right w:val="nil"/>
            </w:tcBorders>
            <w:tcMar>
              <w:top w:w="40" w:type="dxa"/>
              <w:left w:w="40" w:type="dxa"/>
              <w:bottom w:w="40" w:type="dxa"/>
              <w:right w:w="40" w:type="dxa"/>
            </w:tcMar>
            <w:vAlign w:val="center"/>
          </w:tcPr>
          <w:p w14:paraId="58E2FF03" w14:textId="77777777" w:rsidR="00E65594" w:rsidRDefault="00E65594" w:rsidP="00DE5D01">
            <w:pPr>
              <w:widowControl w:val="0"/>
              <w:jc w:val="center"/>
              <w:rPr>
                <w:sz w:val="16"/>
                <w:szCs w:val="16"/>
              </w:rPr>
            </w:pPr>
            <w:r>
              <w:rPr>
                <w:sz w:val="16"/>
                <w:szCs w:val="16"/>
              </w:rPr>
              <w:t>180 ± 30</w:t>
            </w:r>
          </w:p>
        </w:tc>
        <w:tc>
          <w:tcPr>
            <w:tcW w:w="1575" w:type="dxa"/>
            <w:tcBorders>
              <w:top w:val="nil"/>
              <w:left w:val="nil"/>
              <w:bottom w:val="nil"/>
              <w:right w:val="nil"/>
            </w:tcBorders>
            <w:tcMar>
              <w:top w:w="40" w:type="dxa"/>
              <w:left w:w="40" w:type="dxa"/>
              <w:bottom w:w="40" w:type="dxa"/>
              <w:right w:w="40" w:type="dxa"/>
            </w:tcMar>
            <w:vAlign w:val="center"/>
          </w:tcPr>
          <w:p w14:paraId="175DF986" w14:textId="77777777" w:rsidR="00E65594" w:rsidRDefault="00E65594" w:rsidP="00DE5D01">
            <w:pPr>
              <w:widowControl w:val="0"/>
              <w:jc w:val="center"/>
              <w:rPr>
                <w:sz w:val="16"/>
                <w:szCs w:val="16"/>
              </w:rPr>
            </w:pPr>
            <w:r>
              <w:rPr>
                <w:sz w:val="16"/>
                <w:szCs w:val="16"/>
              </w:rPr>
              <w:t>1722-1814 (49.9%)</w:t>
            </w:r>
          </w:p>
          <w:p w14:paraId="0B3A3E95" w14:textId="77777777" w:rsidR="00E65594" w:rsidRDefault="00E65594" w:rsidP="00DE5D01">
            <w:pPr>
              <w:widowControl w:val="0"/>
              <w:jc w:val="center"/>
              <w:rPr>
                <w:sz w:val="16"/>
                <w:szCs w:val="16"/>
              </w:rPr>
            </w:pPr>
            <w:r>
              <w:rPr>
                <w:sz w:val="16"/>
                <w:szCs w:val="16"/>
              </w:rPr>
              <w:t>1656-1698 (19.2%)</w:t>
            </w:r>
          </w:p>
          <w:p w14:paraId="547F96BF" w14:textId="77777777" w:rsidR="00E65594" w:rsidRDefault="00E65594" w:rsidP="00DE5D01">
            <w:pPr>
              <w:widowControl w:val="0"/>
              <w:jc w:val="center"/>
              <w:rPr>
                <w:sz w:val="16"/>
                <w:szCs w:val="16"/>
              </w:rPr>
            </w:pPr>
            <w:r>
              <w:rPr>
                <w:sz w:val="16"/>
                <w:szCs w:val="16"/>
              </w:rPr>
              <w:t>1910-&gt;1950(19.0%)</w:t>
            </w:r>
          </w:p>
          <w:p w14:paraId="3DC6F534" w14:textId="77777777" w:rsidR="00E65594" w:rsidRDefault="00E65594" w:rsidP="00DE5D01">
            <w:pPr>
              <w:widowControl w:val="0"/>
              <w:jc w:val="center"/>
              <w:rPr>
                <w:sz w:val="16"/>
                <w:szCs w:val="16"/>
              </w:rPr>
            </w:pPr>
            <w:r>
              <w:rPr>
                <w:sz w:val="16"/>
                <w:szCs w:val="16"/>
              </w:rPr>
              <w:t>1836-1880 (7.3%)</w:t>
            </w:r>
          </w:p>
        </w:tc>
        <w:tc>
          <w:tcPr>
            <w:tcW w:w="1095" w:type="dxa"/>
            <w:tcBorders>
              <w:top w:val="nil"/>
              <w:left w:val="nil"/>
              <w:bottom w:val="nil"/>
              <w:right w:val="nil"/>
            </w:tcBorders>
            <w:tcMar>
              <w:top w:w="40" w:type="dxa"/>
              <w:left w:w="40" w:type="dxa"/>
              <w:bottom w:w="40" w:type="dxa"/>
              <w:right w:w="40" w:type="dxa"/>
            </w:tcMar>
            <w:vAlign w:val="center"/>
          </w:tcPr>
          <w:p w14:paraId="14B9A13D" w14:textId="77777777" w:rsidR="00E65594" w:rsidRDefault="00E65594" w:rsidP="00DE5D01">
            <w:pPr>
              <w:widowControl w:val="0"/>
              <w:jc w:val="center"/>
              <w:rPr>
                <w:sz w:val="16"/>
                <w:szCs w:val="16"/>
              </w:rPr>
            </w:pPr>
            <w:r>
              <w:rPr>
                <w:sz w:val="16"/>
                <w:szCs w:val="16"/>
              </w:rPr>
              <w:t>1650-1810</w:t>
            </w:r>
          </w:p>
        </w:tc>
        <w:tc>
          <w:tcPr>
            <w:tcW w:w="1215" w:type="dxa"/>
            <w:tcBorders>
              <w:top w:val="nil"/>
              <w:left w:val="nil"/>
              <w:bottom w:val="nil"/>
              <w:right w:val="nil"/>
            </w:tcBorders>
            <w:tcMar>
              <w:top w:w="40" w:type="dxa"/>
              <w:left w:w="40" w:type="dxa"/>
              <w:bottom w:w="40" w:type="dxa"/>
              <w:right w:w="40" w:type="dxa"/>
            </w:tcMar>
            <w:vAlign w:val="center"/>
          </w:tcPr>
          <w:p w14:paraId="306B505E" w14:textId="77777777" w:rsidR="00E65594" w:rsidRDefault="00E65594" w:rsidP="00DE5D01">
            <w:pPr>
              <w:widowControl w:val="0"/>
              <w:jc w:val="center"/>
              <w:rPr>
                <w:sz w:val="16"/>
                <w:szCs w:val="16"/>
              </w:rPr>
            </w:pPr>
            <w:r>
              <w:rPr>
                <w:sz w:val="16"/>
                <w:szCs w:val="16"/>
              </w:rPr>
              <w:t>97.78 ± 0.37</w:t>
            </w:r>
          </w:p>
        </w:tc>
        <w:tc>
          <w:tcPr>
            <w:tcW w:w="645" w:type="dxa"/>
            <w:tcBorders>
              <w:top w:val="nil"/>
              <w:left w:val="nil"/>
              <w:bottom w:val="nil"/>
              <w:right w:val="nil"/>
            </w:tcBorders>
            <w:tcMar>
              <w:top w:w="40" w:type="dxa"/>
              <w:left w:w="40" w:type="dxa"/>
              <w:bottom w:w="40" w:type="dxa"/>
              <w:right w:w="40" w:type="dxa"/>
            </w:tcMar>
            <w:vAlign w:val="center"/>
          </w:tcPr>
          <w:p w14:paraId="1FF6EA43" w14:textId="77777777" w:rsidR="00E65594" w:rsidRDefault="00E65594" w:rsidP="00DE5D01">
            <w:pPr>
              <w:widowControl w:val="0"/>
              <w:jc w:val="center"/>
              <w:rPr>
                <w:sz w:val="16"/>
                <w:szCs w:val="16"/>
              </w:rPr>
            </w:pPr>
            <w:r>
              <w:rPr>
                <w:sz w:val="16"/>
                <w:szCs w:val="16"/>
              </w:rPr>
              <w:t>-23.6</w:t>
            </w:r>
          </w:p>
        </w:tc>
        <w:tc>
          <w:tcPr>
            <w:tcW w:w="555" w:type="dxa"/>
            <w:tcBorders>
              <w:top w:val="nil"/>
              <w:left w:val="nil"/>
              <w:bottom w:val="nil"/>
              <w:right w:val="nil"/>
            </w:tcBorders>
            <w:tcMar>
              <w:top w:w="40" w:type="dxa"/>
              <w:left w:w="40" w:type="dxa"/>
              <w:bottom w:w="40" w:type="dxa"/>
              <w:right w:w="40" w:type="dxa"/>
            </w:tcMar>
            <w:vAlign w:val="center"/>
          </w:tcPr>
          <w:p w14:paraId="5E85C416" w14:textId="77777777" w:rsidR="00E65594" w:rsidRDefault="00E65594" w:rsidP="00DE5D01">
            <w:pPr>
              <w:widowControl w:val="0"/>
              <w:jc w:val="center"/>
              <w:rPr>
                <w:sz w:val="16"/>
                <w:szCs w:val="16"/>
              </w:rPr>
            </w:pPr>
            <w:r>
              <w:rPr>
                <w:sz w:val="16"/>
                <w:szCs w:val="16"/>
              </w:rPr>
              <w:t>-</w:t>
            </w:r>
          </w:p>
        </w:tc>
      </w:tr>
      <w:tr w:rsidR="00E65594" w14:paraId="5D7D1518" w14:textId="77777777" w:rsidTr="00DE5D01">
        <w:trPr>
          <w:trHeight w:val="780"/>
        </w:trPr>
        <w:tc>
          <w:tcPr>
            <w:tcW w:w="645" w:type="dxa"/>
            <w:tcBorders>
              <w:top w:val="nil"/>
              <w:left w:val="nil"/>
              <w:bottom w:val="nil"/>
              <w:right w:val="nil"/>
            </w:tcBorders>
            <w:tcMar>
              <w:top w:w="40" w:type="dxa"/>
              <w:left w:w="40" w:type="dxa"/>
              <w:bottom w:w="40" w:type="dxa"/>
              <w:right w:w="40" w:type="dxa"/>
            </w:tcMar>
            <w:vAlign w:val="center"/>
          </w:tcPr>
          <w:p w14:paraId="0B1208BE" w14:textId="77777777" w:rsidR="00E65594" w:rsidRDefault="00E65594" w:rsidP="00DE5D01">
            <w:pPr>
              <w:widowControl w:val="0"/>
              <w:jc w:val="center"/>
              <w:rPr>
                <w:sz w:val="16"/>
                <w:szCs w:val="16"/>
              </w:rPr>
            </w:pPr>
            <w:r>
              <w:rPr>
                <w:sz w:val="16"/>
                <w:szCs w:val="16"/>
              </w:rPr>
              <w:t>WG1</w:t>
            </w:r>
          </w:p>
        </w:tc>
        <w:tc>
          <w:tcPr>
            <w:tcW w:w="705" w:type="dxa"/>
            <w:tcBorders>
              <w:top w:val="nil"/>
              <w:left w:val="nil"/>
              <w:bottom w:val="nil"/>
              <w:right w:val="nil"/>
            </w:tcBorders>
            <w:tcMar>
              <w:top w:w="40" w:type="dxa"/>
              <w:left w:w="40" w:type="dxa"/>
              <w:bottom w:w="40" w:type="dxa"/>
              <w:right w:w="40" w:type="dxa"/>
            </w:tcMar>
            <w:vAlign w:val="center"/>
          </w:tcPr>
          <w:p w14:paraId="4DE61E3D" w14:textId="77777777" w:rsidR="00E65594" w:rsidRDefault="00E65594" w:rsidP="00DE5D01">
            <w:pPr>
              <w:widowControl w:val="0"/>
              <w:jc w:val="center"/>
              <w:rPr>
                <w:sz w:val="16"/>
                <w:szCs w:val="16"/>
              </w:rPr>
            </w:pPr>
            <w:r>
              <w:rPr>
                <w:sz w:val="16"/>
                <w:szCs w:val="16"/>
              </w:rPr>
              <w:t xml:space="preserve">Water gap </w:t>
            </w:r>
          </w:p>
        </w:tc>
        <w:tc>
          <w:tcPr>
            <w:tcW w:w="375" w:type="dxa"/>
            <w:tcBorders>
              <w:top w:val="nil"/>
              <w:left w:val="nil"/>
              <w:bottom w:val="nil"/>
              <w:right w:val="nil"/>
            </w:tcBorders>
            <w:tcMar>
              <w:top w:w="40" w:type="dxa"/>
              <w:left w:w="40" w:type="dxa"/>
              <w:bottom w:w="40" w:type="dxa"/>
              <w:right w:w="40" w:type="dxa"/>
            </w:tcMar>
            <w:vAlign w:val="center"/>
          </w:tcPr>
          <w:p w14:paraId="1022F35D" w14:textId="77777777" w:rsidR="00E65594" w:rsidRDefault="00E65594" w:rsidP="00DE5D01">
            <w:pPr>
              <w:widowControl w:val="0"/>
              <w:jc w:val="center"/>
              <w:rPr>
                <w:sz w:val="16"/>
                <w:szCs w:val="16"/>
              </w:rPr>
            </w:pPr>
            <w:r>
              <w:rPr>
                <w:sz w:val="16"/>
                <w:szCs w:val="16"/>
              </w:rPr>
              <w:t>-</w:t>
            </w:r>
          </w:p>
        </w:tc>
        <w:tc>
          <w:tcPr>
            <w:tcW w:w="600" w:type="dxa"/>
            <w:tcBorders>
              <w:top w:val="nil"/>
              <w:left w:val="nil"/>
              <w:bottom w:val="nil"/>
              <w:right w:val="nil"/>
            </w:tcBorders>
            <w:tcMar>
              <w:top w:w="40" w:type="dxa"/>
              <w:left w:w="40" w:type="dxa"/>
              <w:bottom w:w="40" w:type="dxa"/>
              <w:right w:w="40" w:type="dxa"/>
            </w:tcMar>
            <w:vAlign w:val="center"/>
          </w:tcPr>
          <w:p w14:paraId="27DEEB29" w14:textId="77777777" w:rsidR="00E65594" w:rsidRDefault="00E65594" w:rsidP="00DE5D01">
            <w:pPr>
              <w:widowControl w:val="0"/>
              <w:jc w:val="center"/>
              <w:rPr>
                <w:sz w:val="16"/>
                <w:szCs w:val="16"/>
              </w:rPr>
            </w:pPr>
            <w:r>
              <w:rPr>
                <w:sz w:val="16"/>
                <w:szCs w:val="16"/>
              </w:rPr>
              <w:t>40.559</w:t>
            </w:r>
          </w:p>
        </w:tc>
        <w:tc>
          <w:tcPr>
            <w:tcW w:w="645" w:type="dxa"/>
            <w:tcBorders>
              <w:top w:val="nil"/>
              <w:left w:val="nil"/>
              <w:bottom w:val="nil"/>
              <w:right w:val="nil"/>
            </w:tcBorders>
            <w:shd w:val="clear" w:color="auto" w:fill="FFFFFF"/>
            <w:tcMar>
              <w:top w:w="40" w:type="dxa"/>
              <w:left w:w="40" w:type="dxa"/>
              <w:bottom w:w="40" w:type="dxa"/>
              <w:right w:w="40" w:type="dxa"/>
            </w:tcMar>
            <w:vAlign w:val="center"/>
          </w:tcPr>
          <w:p w14:paraId="2DF05C76" w14:textId="77777777" w:rsidR="00E65594" w:rsidRDefault="00E65594" w:rsidP="00DE5D01">
            <w:pPr>
              <w:widowControl w:val="0"/>
              <w:jc w:val="center"/>
              <w:rPr>
                <w:sz w:val="16"/>
                <w:szCs w:val="16"/>
              </w:rPr>
            </w:pPr>
            <w:r>
              <w:rPr>
                <w:rFonts w:ascii="Roboto" w:eastAsia="Roboto" w:hAnsi="Roboto" w:cs="Roboto"/>
                <w:sz w:val="16"/>
                <w:szCs w:val="16"/>
              </w:rPr>
              <w:t>48.236</w:t>
            </w:r>
          </w:p>
        </w:tc>
        <w:tc>
          <w:tcPr>
            <w:tcW w:w="1035" w:type="dxa"/>
            <w:tcBorders>
              <w:top w:val="nil"/>
              <w:left w:val="nil"/>
              <w:bottom w:val="nil"/>
              <w:right w:val="nil"/>
            </w:tcBorders>
            <w:tcMar>
              <w:top w:w="40" w:type="dxa"/>
              <w:left w:w="40" w:type="dxa"/>
              <w:bottom w:w="40" w:type="dxa"/>
              <w:right w:w="40" w:type="dxa"/>
            </w:tcMar>
            <w:vAlign w:val="center"/>
          </w:tcPr>
          <w:p w14:paraId="7917E92A" w14:textId="77777777" w:rsidR="00E65594" w:rsidRDefault="00E65594" w:rsidP="00DE5D01">
            <w:pPr>
              <w:widowControl w:val="0"/>
              <w:jc w:val="center"/>
              <w:rPr>
                <w:sz w:val="16"/>
                <w:szCs w:val="16"/>
                <w:vertAlign w:val="superscript"/>
              </w:rPr>
            </w:pPr>
            <w:r>
              <w:rPr>
                <w:sz w:val="16"/>
                <w:szCs w:val="16"/>
              </w:rPr>
              <w:t>Shell</w:t>
            </w:r>
            <w:r>
              <w:rPr>
                <w:rFonts w:ascii="Arial Unicode MS" w:eastAsia="Arial Unicode MS" w:hAnsi="Arial Unicode MS" w:cs="Arial Unicode MS"/>
                <w:sz w:val="16"/>
                <w:szCs w:val="16"/>
                <w:vertAlign w:val="superscript"/>
              </w:rPr>
              <w:t>✝</w:t>
            </w:r>
          </w:p>
        </w:tc>
        <w:tc>
          <w:tcPr>
            <w:tcW w:w="1005" w:type="dxa"/>
            <w:tcBorders>
              <w:top w:val="nil"/>
              <w:left w:val="nil"/>
              <w:bottom w:val="nil"/>
              <w:right w:val="nil"/>
            </w:tcBorders>
            <w:tcMar>
              <w:top w:w="40" w:type="dxa"/>
              <w:left w:w="40" w:type="dxa"/>
              <w:bottom w:w="40" w:type="dxa"/>
              <w:right w:w="40" w:type="dxa"/>
            </w:tcMar>
            <w:vAlign w:val="center"/>
          </w:tcPr>
          <w:p w14:paraId="2558E958" w14:textId="77777777" w:rsidR="00E65594" w:rsidRDefault="00E65594" w:rsidP="00DE5D01">
            <w:pPr>
              <w:widowControl w:val="0"/>
              <w:jc w:val="center"/>
              <w:rPr>
                <w:sz w:val="16"/>
                <w:szCs w:val="16"/>
              </w:rPr>
            </w:pPr>
            <w:r>
              <w:rPr>
                <w:sz w:val="16"/>
                <w:szCs w:val="16"/>
              </w:rPr>
              <w:t>6040 ± 30</w:t>
            </w:r>
          </w:p>
        </w:tc>
        <w:tc>
          <w:tcPr>
            <w:tcW w:w="1575" w:type="dxa"/>
            <w:tcBorders>
              <w:top w:val="nil"/>
              <w:left w:val="nil"/>
              <w:bottom w:val="nil"/>
              <w:right w:val="nil"/>
            </w:tcBorders>
            <w:tcMar>
              <w:top w:w="40" w:type="dxa"/>
              <w:left w:w="40" w:type="dxa"/>
              <w:bottom w:w="40" w:type="dxa"/>
              <w:right w:w="40" w:type="dxa"/>
            </w:tcMar>
            <w:vAlign w:val="center"/>
          </w:tcPr>
          <w:p w14:paraId="5EFC9CD3" w14:textId="77777777" w:rsidR="00E65594" w:rsidRDefault="00E65594" w:rsidP="00DE5D01">
            <w:pPr>
              <w:widowControl w:val="0"/>
              <w:jc w:val="center"/>
              <w:rPr>
                <w:sz w:val="16"/>
                <w:szCs w:val="16"/>
              </w:rPr>
            </w:pPr>
            <w:r>
              <w:rPr>
                <w:sz w:val="16"/>
                <w:szCs w:val="16"/>
              </w:rPr>
              <w:t>5026-4842 BC (95.4%)</w:t>
            </w:r>
          </w:p>
        </w:tc>
        <w:tc>
          <w:tcPr>
            <w:tcW w:w="1095" w:type="dxa"/>
            <w:tcBorders>
              <w:top w:val="nil"/>
              <w:left w:val="nil"/>
              <w:bottom w:val="nil"/>
              <w:right w:val="nil"/>
            </w:tcBorders>
            <w:tcMar>
              <w:top w:w="40" w:type="dxa"/>
              <w:left w:w="40" w:type="dxa"/>
              <w:bottom w:w="40" w:type="dxa"/>
              <w:right w:w="40" w:type="dxa"/>
            </w:tcMar>
            <w:vAlign w:val="center"/>
          </w:tcPr>
          <w:p w14:paraId="1C192BE9" w14:textId="77777777" w:rsidR="00E65594" w:rsidRDefault="00E65594" w:rsidP="00DE5D01">
            <w:pPr>
              <w:widowControl w:val="0"/>
              <w:jc w:val="center"/>
              <w:rPr>
                <w:sz w:val="16"/>
                <w:szCs w:val="16"/>
              </w:rPr>
            </w:pPr>
            <w:r>
              <w:rPr>
                <w:sz w:val="16"/>
                <w:szCs w:val="16"/>
              </w:rPr>
              <w:t>-</w:t>
            </w:r>
          </w:p>
        </w:tc>
        <w:tc>
          <w:tcPr>
            <w:tcW w:w="1215" w:type="dxa"/>
            <w:tcBorders>
              <w:top w:val="nil"/>
              <w:left w:val="nil"/>
              <w:bottom w:val="nil"/>
              <w:right w:val="nil"/>
            </w:tcBorders>
            <w:tcMar>
              <w:top w:w="40" w:type="dxa"/>
              <w:left w:w="40" w:type="dxa"/>
              <w:bottom w:w="40" w:type="dxa"/>
              <w:right w:w="40" w:type="dxa"/>
            </w:tcMar>
            <w:vAlign w:val="center"/>
          </w:tcPr>
          <w:p w14:paraId="0CB65AA5" w14:textId="77777777" w:rsidR="00E65594" w:rsidRDefault="00E65594" w:rsidP="00DE5D01">
            <w:pPr>
              <w:widowControl w:val="0"/>
              <w:jc w:val="center"/>
              <w:rPr>
                <w:sz w:val="16"/>
                <w:szCs w:val="16"/>
              </w:rPr>
            </w:pPr>
            <w:r>
              <w:rPr>
                <w:sz w:val="16"/>
                <w:szCs w:val="16"/>
              </w:rPr>
              <w:t>47.15 ± 0.18</w:t>
            </w:r>
          </w:p>
        </w:tc>
        <w:tc>
          <w:tcPr>
            <w:tcW w:w="645" w:type="dxa"/>
            <w:tcBorders>
              <w:top w:val="nil"/>
              <w:left w:val="nil"/>
              <w:bottom w:val="nil"/>
              <w:right w:val="nil"/>
            </w:tcBorders>
            <w:tcMar>
              <w:top w:w="40" w:type="dxa"/>
              <w:left w:w="40" w:type="dxa"/>
              <w:bottom w:w="40" w:type="dxa"/>
              <w:right w:w="40" w:type="dxa"/>
            </w:tcMar>
            <w:vAlign w:val="center"/>
          </w:tcPr>
          <w:p w14:paraId="4AC02CFB" w14:textId="77777777" w:rsidR="00E65594" w:rsidRDefault="00E65594" w:rsidP="00DE5D01">
            <w:pPr>
              <w:widowControl w:val="0"/>
              <w:jc w:val="center"/>
              <w:rPr>
                <w:sz w:val="16"/>
                <w:szCs w:val="16"/>
              </w:rPr>
            </w:pPr>
            <w:r>
              <w:rPr>
                <w:sz w:val="16"/>
                <w:szCs w:val="16"/>
              </w:rPr>
              <w:t>-7.8</w:t>
            </w:r>
          </w:p>
        </w:tc>
        <w:tc>
          <w:tcPr>
            <w:tcW w:w="555" w:type="dxa"/>
            <w:tcBorders>
              <w:top w:val="nil"/>
              <w:left w:val="nil"/>
              <w:bottom w:val="nil"/>
              <w:right w:val="nil"/>
            </w:tcBorders>
            <w:tcMar>
              <w:top w:w="40" w:type="dxa"/>
              <w:left w:w="40" w:type="dxa"/>
              <w:bottom w:w="40" w:type="dxa"/>
              <w:right w:w="40" w:type="dxa"/>
            </w:tcMar>
            <w:vAlign w:val="center"/>
          </w:tcPr>
          <w:p w14:paraId="498A6622" w14:textId="77777777" w:rsidR="00E65594" w:rsidRDefault="00E65594" w:rsidP="00DE5D01">
            <w:pPr>
              <w:widowControl w:val="0"/>
              <w:jc w:val="center"/>
              <w:rPr>
                <w:sz w:val="16"/>
                <w:szCs w:val="16"/>
              </w:rPr>
            </w:pPr>
            <w:r>
              <w:rPr>
                <w:sz w:val="16"/>
                <w:szCs w:val="16"/>
              </w:rPr>
              <w:t>-2.23</w:t>
            </w:r>
          </w:p>
        </w:tc>
      </w:tr>
      <w:tr w:rsidR="00E65594" w14:paraId="30AB5D3E" w14:textId="77777777" w:rsidTr="00DE5D01">
        <w:trPr>
          <w:trHeight w:val="361"/>
        </w:trPr>
        <w:tc>
          <w:tcPr>
            <w:tcW w:w="6585" w:type="dxa"/>
            <w:gridSpan w:val="8"/>
            <w:tcBorders>
              <w:top w:val="nil"/>
              <w:left w:val="nil"/>
              <w:bottom w:val="nil"/>
              <w:right w:val="nil"/>
            </w:tcBorders>
            <w:tcMar>
              <w:top w:w="40" w:type="dxa"/>
              <w:left w:w="40" w:type="dxa"/>
              <w:bottom w:w="40" w:type="dxa"/>
              <w:right w:w="40" w:type="dxa"/>
            </w:tcMar>
            <w:vAlign w:val="bottom"/>
          </w:tcPr>
          <w:p w14:paraId="229F2565" w14:textId="77777777" w:rsidR="00E65594" w:rsidRDefault="00E65594" w:rsidP="00DE5D01">
            <w:pPr>
              <w:widowControl w:val="0"/>
              <w:rPr>
                <w:sz w:val="16"/>
                <w:szCs w:val="16"/>
              </w:rPr>
            </w:pPr>
            <w:r>
              <w:rPr>
                <w:sz w:val="16"/>
                <w:szCs w:val="16"/>
                <w:vertAlign w:val="superscript"/>
              </w:rPr>
              <w:t>1</w:t>
            </w:r>
            <w:r>
              <w:rPr>
                <w:sz w:val="16"/>
                <w:szCs w:val="16"/>
              </w:rPr>
              <w:t>All samples pretreated with acid/alkali/acid washes unless otherwise noted.</w:t>
            </w:r>
          </w:p>
          <w:p w14:paraId="4E6A47D7" w14:textId="77777777" w:rsidR="00E65594" w:rsidRDefault="00E65594" w:rsidP="00DE5D01">
            <w:pPr>
              <w:widowControl w:val="0"/>
              <w:rPr>
                <w:sz w:val="16"/>
                <w:szCs w:val="16"/>
              </w:rPr>
            </w:pPr>
            <w:r>
              <w:rPr>
                <w:sz w:val="16"/>
                <w:szCs w:val="16"/>
              </w:rPr>
              <w:t>*Acid wash pretreatment only</w:t>
            </w:r>
          </w:p>
          <w:p w14:paraId="5E52ED21" w14:textId="77777777" w:rsidR="00E65594" w:rsidRDefault="00E65594" w:rsidP="00DE5D01">
            <w:pPr>
              <w:widowControl w:val="0"/>
              <w:rPr>
                <w:sz w:val="16"/>
                <w:szCs w:val="16"/>
              </w:rPr>
            </w:pPr>
            <w:r>
              <w:rPr>
                <w:rFonts w:ascii="Arial Unicode MS" w:eastAsia="Arial Unicode MS" w:hAnsi="Arial Unicode MS" w:cs="Arial Unicode MS"/>
                <w:sz w:val="16"/>
                <w:szCs w:val="16"/>
                <w:vertAlign w:val="superscript"/>
              </w:rPr>
              <w:t>✝</w:t>
            </w:r>
            <w:r>
              <w:rPr>
                <w:sz w:val="16"/>
                <w:szCs w:val="16"/>
              </w:rPr>
              <w:t>Acid etch pretreatment only</w:t>
            </w:r>
          </w:p>
          <w:p w14:paraId="2E5FE5A7" w14:textId="77777777" w:rsidR="00E65594" w:rsidRDefault="00E65594" w:rsidP="00DE5D01">
            <w:pPr>
              <w:widowControl w:val="0"/>
              <w:rPr>
                <w:sz w:val="16"/>
                <w:szCs w:val="16"/>
              </w:rPr>
            </w:pPr>
            <w:r>
              <w:rPr>
                <w:sz w:val="16"/>
                <w:szCs w:val="16"/>
                <w:vertAlign w:val="superscript"/>
              </w:rPr>
              <w:t>2</w:t>
            </w:r>
            <w:r>
              <w:rPr>
                <w:sz w:val="16"/>
                <w:szCs w:val="16"/>
              </w:rPr>
              <w:t xml:space="preserve">All calibrations were done with </w:t>
            </w:r>
            <w:proofErr w:type="spellStart"/>
            <w:r>
              <w:rPr>
                <w:sz w:val="16"/>
                <w:szCs w:val="16"/>
              </w:rPr>
              <w:t>OxCal</w:t>
            </w:r>
            <w:proofErr w:type="spellEnd"/>
            <w:r>
              <w:rPr>
                <w:sz w:val="16"/>
                <w:szCs w:val="16"/>
              </w:rPr>
              <w:t xml:space="preserve"> v4.4 using the </w:t>
            </w:r>
            <w:proofErr w:type="spellStart"/>
            <w:r>
              <w:rPr>
                <w:sz w:val="16"/>
                <w:szCs w:val="16"/>
              </w:rPr>
              <w:t>IntCal</w:t>
            </w:r>
            <w:proofErr w:type="spellEnd"/>
            <w:r>
              <w:rPr>
                <w:sz w:val="16"/>
                <w:szCs w:val="16"/>
              </w:rPr>
              <w:t xml:space="preserve"> 20 curve.</w:t>
            </w:r>
          </w:p>
        </w:tc>
        <w:tc>
          <w:tcPr>
            <w:tcW w:w="1095" w:type="dxa"/>
            <w:tcBorders>
              <w:top w:val="nil"/>
              <w:left w:val="nil"/>
              <w:bottom w:val="nil"/>
              <w:right w:val="nil"/>
            </w:tcBorders>
            <w:tcMar>
              <w:top w:w="40" w:type="dxa"/>
              <w:left w:w="40" w:type="dxa"/>
              <w:bottom w:w="40" w:type="dxa"/>
              <w:right w:w="40" w:type="dxa"/>
            </w:tcMar>
            <w:vAlign w:val="bottom"/>
          </w:tcPr>
          <w:p w14:paraId="2FFA0944" w14:textId="77777777" w:rsidR="00E65594" w:rsidRDefault="00E65594" w:rsidP="00DE5D01">
            <w:pPr>
              <w:widowControl w:val="0"/>
              <w:jc w:val="center"/>
              <w:rPr>
                <w:sz w:val="16"/>
                <w:szCs w:val="16"/>
              </w:rPr>
            </w:pPr>
          </w:p>
        </w:tc>
        <w:tc>
          <w:tcPr>
            <w:tcW w:w="1215" w:type="dxa"/>
            <w:tcBorders>
              <w:top w:val="nil"/>
              <w:left w:val="nil"/>
              <w:bottom w:val="nil"/>
              <w:right w:val="nil"/>
            </w:tcBorders>
            <w:tcMar>
              <w:top w:w="40" w:type="dxa"/>
              <w:left w:w="40" w:type="dxa"/>
              <w:bottom w:w="40" w:type="dxa"/>
              <w:right w:w="40" w:type="dxa"/>
            </w:tcMar>
            <w:vAlign w:val="bottom"/>
          </w:tcPr>
          <w:p w14:paraId="26424820" w14:textId="77777777" w:rsidR="00E65594" w:rsidRDefault="00E65594" w:rsidP="00DE5D01">
            <w:pPr>
              <w:widowControl w:val="0"/>
              <w:jc w:val="center"/>
              <w:rPr>
                <w:sz w:val="16"/>
                <w:szCs w:val="16"/>
              </w:rPr>
            </w:pPr>
          </w:p>
        </w:tc>
        <w:tc>
          <w:tcPr>
            <w:tcW w:w="645" w:type="dxa"/>
            <w:tcBorders>
              <w:top w:val="nil"/>
              <w:left w:val="nil"/>
              <w:bottom w:val="nil"/>
              <w:right w:val="nil"/>
            </w:tcBorders>
            <w:tcMar>
              <w:top w:w="40" w:type="dxa"/>
              <w:left w:w="40" w:type="dxa"/>
              <w:bottom w:w="40" w:type="dxa"/>
              <w:right w:w="40" w:type="dxa"/>
            </w:tcMar>
            <w:vAlign w:val="bottom"/>
          </w:tcPr>
          <w:p w14:paraId="57D5C5F8" w14:textId="77777777" w:rsidR="00E65594" w:rsidRDefault="00E65594" w:rsidP="00DE5D01">
            <w:pPr>
              <w:widowControl w:val="0"/>
              <w:jc w:val="center"/>
              <w:rPr>
                <w:sz w:val="16"/>
                <w:szCs w:val="16"/>
              </w:rPr>
            </w:pPr>
          </w:p>
        </w:tc>
        <w:tc>
          <w:tcPr>
            <w:tcW w:w="555" w:type="dxa"/>
            <w:tcBorders>
              <w:top w:val="nil"/>
              <w:left w:val="nil"/>
              <w:bottom w:val="nil"/>
              <w:right w:val="nil"/>
            </w:tcBorders>
            <w:tcMar>
              <w:top w:w="40" w:type="dxa"/>
              <w:left w:w="40" w:type="dxa"/>
              <w:bottom w:w="40" w:type="dxa"/>
              <w:right w:w="40" w:type="dxa"/>
            </w:tcMar>
            <w:vAlign w:val="bottom"/>
          </w:tcPr>
          <w:p w14:paraId="3F18ACD6" w14:textId="77777777" w:rsidR="00E65594" w:rsidRDefault="00E65594" w:rsidP="00DE5D01">
            <w:pPr>
              <w:widowControl w:val="0"/>
              <w:jc w:val="center"/>
              <w:rPr>
                <w:sz w:val="16"/>
                <w:szCs w:val="16"/>
              </w:rPr>
            </w:pPr>
          </w:p>
        </w:tc>
      </w:tr>
    </w:tbl>
    <w:p w14:paraId="37FD6A9C" w14:textId="77777777" w:rsidR="00BF0028" w:rsidRDefault="00BF0028"/>
    <w:sectPr w:rsidR="00BF0028" w:rsidSect="00BD47BB">
      <w:type w:val="continuous"/>
      <w:pgSz w:w="12240" w:h="15840"/>
      <w:pgMar w:top="1440" w:right="1440" w:bottom="1440" w:left="1440" w:header="432" w:footer="720" w:gutter="0"/>
      <w:lnNumType w:countBy="1" w:restart="continuous"/>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79DCC24" w14:textId="77777777" w:rsidR="009B1581" w:rsidRDefault="009B1581" w:rsidP="000379AB">
      <w:r>
        <w:separator/>
      </w:r>
    </w:p>
  </w:endnote>
  <w:endnote w:type="continuationSeparator" w:id="0">
    <w:p w14:paraId="620A779F" w14:textId="77777777" w:rsidR="009B1581" w:rsidRDefault="009B1581" w:rsidP="000379A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Roboto">
    <w:altName w:val="Roboto"/>
    <w:charset w:val="00"/>
    <w:family w:val="auto"/>
    <w:pitch w:val="variable"/>
    <w:sig w:usb0="E00002FF" w:usb1="5000205B" w:usb2="00000020" w:usb3="00000000" w:csb0="0000019F" w:csb1="00000000"/>
  </w:font>
  <w:font w:name="Arial Unicode MS">
    <w:altName w:val="Arial"/>
    <w:panose1 w:val="020B0604020202020204"/>
    <w:charset w:val="00"/>
    <w:family w:val="auto"/>
    <w:pitch w:val="default"/>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94ED28E" w14:textId="2FE9AD18" w:rsidR="00DD6745" w:rsidRDefault="00DD6745" w:rsidP="00B719C8">
    <w:pPr>
      <w:pStyle w:val="Footer"/>
      <w:jc w:val="cen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D0287EB" w14:textId="77777777" w:rsidR="009B1581" w:rsidRDefault="009B1581" w:rsidP="000379AB">
      <w:r>
        <w:separator/>
      </w:r>
    </w:p>
  </w:footnote>
  <w:footnote w:type="continuationSeparator" w:id="0">
    <w:p w14:paraId="1DAF1EA9" w14:textId="77777777" w:rsidR="009B1581" w:rsidRDefault="009B1581" w:rsidP="000379A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B25FE63" w14:textId="6E7AAB9C" w:rsidR="00DD6745" w:rsidRDefault="00DD6745" w:rsidP="007778ED">
    <w:pPr>
      <w:pStyle w:val="Header"/>
      <w:jc w:val="center"/>
    </w:pPr>
    <w:r>
      <w:t xml:space="preserve">manuscript submitted to </w:t>
    </w:r>
    <w:r w:rsidR="00E65594">
      <w:rPr>
        <w:i/>
      </w:rPr>
      <w:t>JGR: Solid Earth</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5B75CCC" w14:textId="2816AD77" w:rsidR="00DD6745" w:rsidRDefault="00DD6745" w:rsidP="00E31404">
    <w:pPr>
      <w:pStyle w:val="Header"/>
      <w:jc w:val="center"/>
    </w:pPr>
    <w:r>
      <w:t xml:space="preserve">Confidential manuscript submitted to </w:t>
    </w:r>
    <w:r>
      <w:rPr>
        <w:i/>
      </w:rPr>
      <w:t xml:space="preserve">replace this text with name of </w:t>
    </w:r>
    <w:r w:rsidRPr="007778ED">
      <w:rPr>
        <w:i/>
      </w:rPr>
      <w:t>AGU journal</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DD472D"/>
    <w:multiLevelType w:val="hybridMultilevel"/>
    <w:tmpl w:val="880A865A"/>
    <w:lvl w:ilvl="0" w:tplc="04090001">
      <w:start w:val="1"/>
      <w:numFmt w:val="bullet"/>
      <w:lvlText w:val=""/>
      <w:lvlJc w:val="left"/>
      <w:pPr>
        <w:ind w:left="1080" w:hanging="360"/>
      </w:pPr>
      <w:rPr>
        <w:rFonts w:ascii="Symbol" w:hAnsi="Symbol" w:hint="default"/>
        <w:color w:val="262626"/>
        <w:sz w:val="20"/>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 w15:restartNumberingAfterBreak="0">
    <w:nsid w:val="0A174657"/>
    <w:multiLevelType w:val="hybridMultilevel"/>
    <w:tmpl w:val="9678DF8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125E64BC"/>
    <w:multiLevelType w:val="hybridMultilevel"/>
    <w:tmpl w:val="A4B063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478067D"/>
    <w:multiLevelType w:val="hybridMultilevel"/>
    <w:tmpl w:val="9FB67F76"/>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 w15:restartNumberingAfterBreak="0">
    <w:nsid w:val="24A61D63"/>
    <w:multiLevelType w:val="hybridMultilevel"/>
    <w:tmpl w:val="36769D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F047978"/>
    <w:multiLevelType w:val="hybridMultilevel"/>
    <w:tmpl w:val="7E889D80"/>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6" w15:restartNumberingAfterBreak="0">
    <w:nsid w:val="3C9B5536"/>
    <w:multiLevelType w:val="hybridMultilevel"/>
    <w:tmpl w:val="CBCCF77E"/>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404E3973"/>
    <w:multiLevelType w:val="hybridMultilevel"/>
    <w:tmpl w:val="8C6689BE"/>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4C2A3137"/>
    <w:multiLevelType w:val="hybridMultilevel"/>
    <w:tmpl w:val="A6A8EA04"/>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 w15:restartNumberingAfterBreak="0">
    <w:nsid w:val="50FD43D8"/>
    <w:multiLevelType w:val="hybridMultilevel"/>
    <w:tmpl w:val="00E46F2E"/>
    <w:lvl w:ilvl="0" w:tplc="04090001">
      <w:start w:val="1"/>
      <w:numFmt w:val="bullet"/>
      <w:lvlText w:val=""/>
      <w:lvlJc w:val="left"/>
      <w:pPr>
        <w:ind w:left="2160" w:hanging="360"/>
      </w:pPr>
      <w:rPr>
        <w:rFonts w:ascii="Symbol" w:hAnsi="Symbol" w:hint="default"/>
      </w:rPr>
    </w:lvl>
    <w:lvl w:ilvl="1" w:tplc="04090003" w:tentative="1">
      <w:start w:val="1"/>
      <w:numFmt w:val="bullet"/>
      <w:lvlText w:val="o"/>
      <w:lvlJc w:val="left"/>
      <w:pPr>
        <w:ind w:left="2880" w:hanging="360"/>
      </w:pPr>
      <w:rPr>
        <w:rFonts w:ascii="Courier New" w:hAnsi="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10" w15:restartNumberingAfterBreak="0">
    <w:nsid w:val="5777280C"/>
    <w:multiLevelType w:val="hybridMultilevel"/>
    <w:tmpl w:val="2B2ECF96"/>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 w15:restartNumberingAfterBreak="0">
    <w:nsid w:val="5C811597"/>
    <w:multiLevelType w:val="hybridMultilevel"/>
    <w:tmpl w:val="4E48B8C2"/>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640D0A31"/>
    <w:multiLevelType w:val="multilevel"/>
    <w:tmpl w:val="65BEAD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64351C9F"/>
    <w:multiLevelType w:val="multilevel"/>
    <w:tmpl w:val="8196B89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6B5208B2"/>
    <w:multiLevelType w:val="hybridMultilevel"/>
    <w:tmpl w:val="EF94B784"/>
    <w:lvl w:ilvl="0" w:tplc="9B9AD5D6">
      <w:start w:val="1"/>
      <w:numFmt w:val="upperLetter"/>
      <w:lvlText w:val="%1t"/>
      <w:lvlJc w:val="left"/>
      <w:pPr>
        <w:ind w:left="440" w:hanging="360"/>
      </w:pPr>
      <w:rPr>
        <w:rFonts w:hint="default"/>
      </w:rPr>
    </w:lvl>
    <w:lvl w:ilvl="1" w:tplc="04090019" w:tentative="1">
      <w:start w:val="1"/>
      <w:numFmt w:val="lowerLetter"/>
      <w:lvlText w:val="%2."/>
      <w:lvlJc w:val="left"/>
      <w:pPr>
        <w:ind w:left="1160" w:hanging="360"/>
      </w:pPr>
    </w:lvl>
    <w:lvl w:ilvl="2" w:tplc="0409001B" w:tentative="1">
      <w:start w:val="1"/>
      <w:numFmt w:val="lowerRoman"/>
      <w:lvlText w:val="%3."/>
      <w:lvlJc w:val="right"/>
      <w:pPr>
        <w:ind w:left="1880" w:hanging="180"/>
      </w:pPr>
    </w:lvl>
    <w:lvl w:ilvl="3" w:tplc="0409000F" w:tentative="1">
      <w:start w:val="1"/>
      <w:numFmt w:val="decimal"/>
      <w:lvlText w:val="%4."/>
      <w:lvlJc w:val="left"/>
      <w:pPr>
        <w:ind w:left="2600" w:hanging="360"/>
      </w:pPr>
    </w:lvl>
    <w:lvl w:ilvl="4" w:tplc="04090019" w:tentative="1">
      <w:start w:val="1"/>
      <w:numFmt w:val="lowerLetter"/>
      <w:lvlText w:val="%5."/>
      <w:lvlJc w:val="left"/>
      <w:pPr>
        <w:ind w:left="3320" w:hanging="360"/>
      </w:pPr>
    </w:lvl>
    <w:lvl w:ilvl="5" w:tplc="0409001B" w:tentative="1">
      <w:start w:val="1"/>
      <w:numFmt w:val="lowerRoman"/>
      <w:lvlText w:val="%6."/>
      <w:lvlJc w:val="right"/>
      <w:pPr>
        <w:ind w:left="4040" w:hanging="180"/>
      </w:pPr>
    </w:lvl>
    <w:lvl w:ilvl="6" w:tplc="0409000F" w:tentative="1">
      <w:start w:val="1"/>
      <w:numFmt w:val="decimal"/>
      <w:lvlText w:val="%7."/>
      <w:lvlJc w:val="left"/>
      <w:pPr>
        <w:ind w:left="4760" w:hanging="360"/>
      </w:pPr>
    </w:lvl>
    <w:lvl w:ilvl="7" w:tplc="04090019" w:tentative="1">
      <w:start w:val="1"/>
      <w:numFmt w:val="lowerLetter"/>
      <w:lvlText w:val="%8."/>
      <w:lvlJc w:val="left"/>
      <w:pPr>
        <w:ind w:left="5480" w:hanging="360"/>
      </w:pPr>
    </w:lvl>
    <w:lvl w:ilvl="8" w:tplc="0409001B" w:tentative="1">
      <w:start w:val="1"/>
      <w:numFmt w:val="lowerRoman"/>
      <w:lvlText w:val="%9."/>
      <w:lvlJc w:val="right"/>
      <w:pPr>
        <w:ind w:left="6200" w:hanging="180"/>
      </w:pPr>
    </w:lvl>
  </w:abstractNum>
  <w:abstractNum w:abstractNumId="15" w15:restartNumberingAfterBreak="0">
    <w:nsid w:val="7B47206B"/>
    <w:multiLevelType w:val="hybridMultilevel"/>
    <w:tmpl w:val="058C0FC8"/>
    <w:lvl w:ilvl="0" w:tplc="EB9E9560">
      <w:numFmt w:val="bullet"/>
      <w:lvlText w:val="·"/>
      <w:lvlJc w:val="left"/>
      <w:pPr>
        <w:ind w:left="1080" w:hanging="360"/>
      </w:pPr>
      <w:rPr>
        <w:rFonts w:ascii="Times New Roman" w:eastAsia="Times New Roman" w:hAnsi="Times New Roman" w:cs="Times New Roman" w:hint="default"/>
        <w:color w:val="262626"/>
        <w:sz w:val="20"/>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num w:numId="1" w16cid:durableId="340936998">
    <w:abstractNumId w:val="3"/>
  </w:num>
  <w:num w:numId="2" w16cid:durableId="1539506214">
    <w:abstractNumId w:val="2"/>
  </w:num>
  <w:num w:numId="3" w16cid:durableId="544685443">
    <w:abstractNumId w:val="14"/>
  </w:num>
  <w:num w:numId="4" w16cid:durableId="869149981">
    <w:abstractNumId w:val="6"/>
  </w:num>
  <w:num w:numId="5" w16cid:durableId="1763452766">
    <w:abstractNumId w:val="7"/>
  </w:num>
  <w:num w:numId="6" w16cid:durableId="497502182">
    <w:abstractNumId w:val="11"/>
  </w:num>
  <w:num w:numId="7" w16cid:durableId="1323923210">
    <w:abstractNumId w:val="12"/>
  </w:num>
  <w:num w:numId="8" w16cid:durableId="2116628891">
    <w:abstractNumId w:val="13"/>
  </w:num>
  <w:num w:numId="9" w16cid:durableId="2021155178">
    <w:abstractNumId w:val="4"/>
  </w:num>
  <w:num w:numId="10" w16cid:durableId="365449845">
    <w:abstractNumId w:val="9"/>
  </w:num>
  <w:num w:numId="11" w16cid:durableId="751197138">
    <w:abstractNumId w:val="5"/>
  </w:num>
  <w:num w:numId="12" w16cid:durableId="1803032274">
    <w:abstractNumId w:val="15"/>
  </w:num>
  <w:num w:numId="13" w16cid:durableId="548227465">
    <w:abstractNumId w:val="0"/>
  </w:num>
  <w:num w:numId="14" w16cid:durableId="291978798">
    <w:abstractNumId w:val="10"/>
  </w:num>
  <w:num w:numId="15" w16cid:durableId="420175635">
    <w:abstractNumId w:val="8"/>
  </w:num>
  <w:num w:numId="16" w16cid:durableId="67003625">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hideSpellingErrors/>
  <w:hideGrammaticalErrors/>
  <w:proofState w:spelling="clean" w:grammar="clean"/>
  <w:stylePaneFormatFilter w:val="3F21" w:allStyles="1" w:customStyles="0" w:latentStyles="0" w:stylesInUse="0" w:headingStyles="1" w:numberingStyles="0" w:tableStyles="0" w:directFormattingOnRuns="1" w:directFormattingOnParagraphs="1" w:directFormattingOnNumbering="1" w:directFormattingOnTables="1" w:clearFormatting="1" w:top3HeadingStyles="1" w:visibleStyles="0" w:alternateStyleNames="0"/>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A6077"/>
    <w:rsid w:val="00031829"/>
    <w:rsid w:val="000379AB"/>
    <w:rsid w:val="0007414F"/>
    <w:rsid w:val="001C2B0D"/>
    <w:rsid w:val="001E33EF"/>
    <w:rsid w:val="00205265"/>
    <w:rsid w:val="002112B8"/>
    <w:rsid w:val="00240493"/>
    <w:rsid w:val="002B6F74"/>
    <w:rsid w:val="002C3263"/>
    <w:rsid w:val="002E7898"/>
    <w:rsid w:val="002F2289"/>
    <w:rsid w:val="002F3B11"/>
    <w:rsid w:val="003137C3"/>
    <w:rsid w:val="00321596"/>
    <w:rsid w:val="003647B7"/>
    <w:rsid w:val="00366917"/>
    <w:rsid w:val="0037466A"/>
    <w:rsid w:val="003E660A"/>
    <w:rsid w:val="003F199B"/>
    <w:rsid w:val="00400425"/>
    <w:rsid w:val="004009A6"/>
    <w:rsid w:val="00440A22"/>
    <w:rsid w:val="0046739F"/>
    <w:rsid w:val="00514B45"/>
    <w:rsid w:val="005167EA"/>
    <w:rsid w:val="005358D5"/>
    <w:rsid w:val="00545B6C"/>
    <w:rsid w:val="00562C9F"/>
    <w:rsid w:val="00562D64"/>
    <w:rsid w:val="0057441D"/>
    <w:rsid w:val="00575C0B"/>
    <w:rsid w:val="005E1969"/>
    <w:rsid w:val="006842EE"/>
    <w:rsid w:val="006C4619"/>
    <w:rsid w:val="006D19B4"/>
    <w:rsid w:val="006F662E"/>
    <w:rsid w:val="007362A5"/>
    <w:rsid w:val="007778ED"/>
    <w:rsid w:val="00796FB8"/>
    <w:rsid w:val="007A1F7F"/>
    <w:rsid w:val="007B4B93"/>
    <w:rsid w:val="00813315"/>
    <w:rsid w:val="00853CD5"/>
    <w:rsid w:val="00855B07"/>
    <w:rsid w:val="008A6077"/>
    <w:rsid w:val="008D3087"/>
    <w:rsid w:val="008E58E5"/>
    <w:rsid w:val="0097213C"/>
    <w:rsid w:val="00975D9D"/>
    <w:rsid w:val="00995CAA"/>
    <w:rsid w:val="009B1581"/>
    <w:rsid w:val="009B68DA"/>
    <w:rsid w:val="009C63D9"/>
    <w:rsid w:val="009E5B04"/>
    <w:rsid w:val="00A1073D"/>
    <w:rsid w:val="00AA11F3"/>
    <w:rsid w:val="00AB46CF"/>
    <w:rsid w:val="00AF33DA"/>
    <w:rsid w:val="00B120F3"/>
    <w:rsid w:val="00B5234D"/>
    <w:rsid w:val="00B719C8"/>
    <w:rsid w:val="00B81C79"/>
    <w:rsid w:val="00B82556"/>
    <w:rsid w:val="00B828C4"/>
    <w:rsid w:val="00BD47BB"/>
    <w:rsid w:val="00BF0028"/>
    <w:rsid w:val="00C3475A"/>
    <w:rsid w:val="00C81368"/>
    <w:rsid w:val="00C81692"/>
    <w:rsid w:val="00C94AA5"/>
    <w:rsid w:val="00CB7BED"/>
    <w:rsid w:val="00CC4CBE"/>
    <w:rsid w:val="00CF3DEE"/>
    <w:rsid w:val="00D50A01"/>
    <w:rsid w:val="00D810E5"/>
    <w:rsid w:val="00D94839"/>
    <w:rsid w:val="00D9528F"/>
    <w:rsid w:val="00DD6745"/>
    <w:rsid w:val="00DE3F91"/>
    <w:rsid w:val="00E31404"/>
    <w:rsid w:val="00E31513"/>
    <w:rsid w:val="00E65594"/>
    <w:rsid w:val="00E664DF"/>
    <w:rsid w:val="00E67B96"/>
    <w:rsid w:val="00EE433D"/>
    <w:rsid w:val="00EF04CF"/>
    <w:rsid w:val="00F21080"/>
    <w:rsid w:val="00F45E57"/>
    <w:rsid w:val="00F71CD1"/>
    <w:rsid w:val="00FC3EAC"/>
    <w:rsid w:val="00FC49C6"/>
    <w:rsid w:val="1ACF9879"/>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4:docId w14:val="2609C9FC"/>
  <w14:defaultImageDpi w14:val="300"/>
  <w15:chartTrackingRefBased/>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Smart Link" w:semiHidden="1" w:unhideWhenUsed="1"/>
  </w:latentStyles>
  <w:style w:type="paragraph" w:default="1" w:styleId="Normal">
    <w:name w:val="Normal"/>
    <w:qFormat/>
    <w:rsid w:val="008A6077"/>
    <w:rPr>
      <w:rFonts w:ascii="Times New Roman" w:eastAsia="Calibri" w:hAnsi="Times New Roman" w:cs="Times New Roman"/>
      <w:sz w:val="20"/>
      <w:szCs w:val="20"/>
    </w:rPr>
  </w:style>
  <w:style w:type="paragraph" w:styleId="Heading1">
    <w:name w:val="heading 1"/>
    <w:basedOn w:val="Normal"/>
    <w:next w:val="Normal"/>
    <w:link w:val="Heading1Char"/>
    <w:uiPriority w:val="9"/>
    <w:qFormat/>
    <w:rsid w:val="00E65594"/>
    <w:pPr>
      <w:keepNext/>
      <w:keepLines/>
      <w:spacing w:before="400" w:after="120" w:line="276" w:lineRule="auto"/>
      <w:outlineLvl w:val="0"/>
    </w:pPr>
    <w:rPr>
      <w:rFonts w:ascii="Arial" w:eastAsia="Arial" w:hAnsi="Arial" w:cs="Arial"/>
      <w:sz w:val="40"/>
      <w:szCs w:val="40"/>
      <w:lang w:val="en" w:eastAsia="en-GB"/>
    </w:rPr>
  </w:style>
  <w:style w:type="paragraph" w:styleId="Heading2">
    <w:name w:val="heading 2"/>
    <w:basedOn w:val="Normal"/>
    <w:next w:val="Normal"/>
    <w:link w:val="Heading2Char"/>
    <w:uiPriority w:val="9"/>
    <w:unhideWhenUsed/>
    <w:qFormat/>
    <w:rsid w:val="00E65594"/>
    <w:pPr>
      <w:keepNext/>
      <w:keepLines/>
      <w:spacing w:before="360" w:after="120" w:line="276" w:lineRule="auto"/>
      <w:outlineLvl w:val="1"/>
    </w:pPr>
    <w:rPr>
      <w:rFonts w:ascii="Arial" w:eastAsia="Arial" w:hAnsi="Arial" w:cs="Arial"/>
      <w:sz w:val="32"/>
      <w:szCs w:val="32"/>
      <w:lang w:val="en" w:eastAsia="en-GB"/>
    </w:rPr>
  </w:style>
  <w:style w:type="paragraph" w:styleId="Heading3">
    <w:name w:val="heading 3"/>
    <w:basedOn w:val="Normal"/>
    <w:next w:val="Normal"/>
    <w:link w:val="Heading3Char"/>
    <w:uiPriority w:val="9"/>
    <w:unhideWhenUsed/>
    <w:qFormat/>
    <w:rsid w:val="00853CD5"/>
    <w:pPr>
      <w:keepNext/>
      <w:keepLines/>
      <w:spacing w:before="320" w:after="80" w:line="276" w:lineRule="auto"/>
      <w:outlineLvl w:val="2"/>
    </w:pPr>
    <w:rPr>
      <w:rFonts w:eastAsia="Arial" w:cs="Arial"/>
      <w:sz w:val="24"/>
      <w:szCs w:val="28"/>
      <w:lang w:val="en" w:eastAsia="en-GB"/>
    </w:rPr>
  </w:style>
  <w:style w:type="paragraph" w:styleId="Heading4">
    <w:name w:val="heading 4"/>
    <w:basedOn w:val="Normal"/>
    <w:next w:val="Normal"/>
    <w:link w:val="Heading4Char"/>
    <w:uiPriority w:val="9"/>
    <w:semiHidden/>
    <w:unhideWhenUsed/>
    <w:qFormat/>
    <w:rsid w:val="00E65594"/>
    <w:pPr>
      <w:keepNext/>
      <w:keepLines/>
      <w:spacing w:before="280" w:after="80" w:line="276" w:lineRule="auto"/>
      <w:outlineLvl w:val="3"/>
    </w:pPr>
    <w:rPr>
      <w:rFonts w:ascii="Arial" w:eastAsia="Arial" w:hAnsi="Arial" w:cs="Arial"/>
      <w:color w:val="666666"/>
      <w:sz w:val="24"/>
      <w:szCs w:val="24"/>
      <w:lang w:val="en" w:eastAsia="en-GB"/>
    </w:rPr>
  </w:style>
  <w:style w:type="paragraph" w:styleId="Heading5">
    <w:name w:val="heading 5"/>
    <w:basedOn w:val="Normal"/>
    <w:next w:val="Normal"/>
    <w:link w:val="Heading5Char"/>
    <w:uiPriority w:val="9"/>
    <w:semiHidden/>
    <w:unhideWhenUsed/>
    <w:qFormat/>
    <w:rsid w:val="00E65594"/>
    <w:pPr>
      <w:keepNext/>
      <w:keepLines/>
      <w:spacing w:before="240" w:after="80" w:line="276" w:lineRule="auto"/>
      <w:outlineLvl w:val="4"/>
    </w:pPr>
    <w:rPr>
      <w:rFonts w:ascii="Arial" w:eastAsia="Arial" w:hAnsi="Arial" w:cs="Arial"/>
      <w:color w:val="666666"/>
      <w:sz w:val="22"/>
      <w:szCs w:val="22"/>
      <w:lang w:val="en" w:eastAsia="en-GB"/>
    </w:rPr>
  </w:style>
  <w:style w:type="paragraph" w:styleId="Heading6">
    <w:name w:val="heading 6"/>
    <w:basedOn w:val="Normal"/>
    <w:next w:val="Normal"/>
    <w:link w:val="Heading6Char"/>
    <w:uiPriority w:val="9"/>
    <w:semiHidden/>
    <w:unhideWhenUsed/>
    <w:qFormat/>
    <w:rsid w:val="00E65594"/>
    <w:pPr>
      <w:keepNext/>
      <w:keepLines/>
      <w:spacing w:before="240" w:after="80" w:line="276" w:lineRule="auto"/>
      <w:outlineLvl w:val="5"/>
    </w:pPr>
    <w:rPr>
      <w:rFonts w:ascii="Arial" w:eastAsia="Arial" w:hAnsi="Arial" w:cs="Arial"/>
      <w:i/>
      <w:color w:val="666666"/>
      <w:sz w:val="22"/>
      <w:szCs w:val="22"/>
      <w:lang w:val="en" w:eastAsia="en-GB"/>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link w:val="TitleChar"/>
    <w:uiPriority w:val="10"/>
    <w:qFormat/>
    <w:rsid w:val="00400425"/>
    <w:pPr>
      <w:contextualSpacing/>
      <w:jc w:val="center"/>
    </w:pPr>
    <w:rPr>
      <w:rFonts w:eastAsiaTheme="majorEastAsia" w:cstheme="majorBidi"/>
      <w:b/>
      <w:spacing w:val="-10"/>
      <w:kern w:val="28"/>
      <w:sz w:val="28"/>
      <w:szCs w:val="56"/>
    </w:rPr>
  </w:style>
  <w:style w:type="paragraph" w:customStyle="1" w:styleId="Reference">
    <w:name w:val="Reference"/>
    <w:basedOn w:val="Normal"/>
    <w:rsid w:val="008A6077"/>
    <w:pPr>
      <w:spacing w:before="120"/>
      <w:ind w:left="720" w:hanging="720"/>
    </w:pPr>
    <w:rPr>
      <w:rFonts w:eastAsia="Times New Roman"/>
      <w:sz w:val="24"/>
      <w:szCs w:val="24"/>
    </w:rPr>
  </w:style>
  <w:style w:type="paragraph" w:styleId="Header">
    <w:name w:val="header"/>
    <w:basedOn w:val="Normal"/>
    <w:link w:val="HeaderChar"/>
    <w:uiPriority w:val="99"/>
    <w:unhideWhenUsed/>
    <w:rsid w:val="000379AB"/>
    <w:pPr>
      <w:tabs>
        <w:tab w:val="center" w:pos="4680"/>
        <w:tab w:val="right" w:pos="9360"/>
      </w:tabs>
    </w:pPr>
  </w:style>
  <w:style w:type="paragraph" w:customStyle="1" w:styleId="Heading-Secondary">
    <w:name w:val="Heading-Secondary"/>
    <w:basedOn w:val="Heading-Main"/>
    <w:qFormat/>
    <w:rsid w:val="00C81368"/>
    <w:pPr>
      <w:ind w:left="720"/>
    </w:pPr>
    <w:rPr>
      <w:b w:val="0"/>
    </w:rPr>
  </w:style>
  <w:style w:type="paragraph" w:customStyle="1" w:styleId="Authors">
    <w:name w:val="Authors"/>
    <w:basedOn w:val="Normal"/>
    <w:rsid w:val="00B120F3"/>
    <w:pPr>
      <w:spacing w:before="120" w:after="360"/>
    </w:pPr>
    <w:rPr>
      <w:rFonts w:eastAsia="Times New Roman"/>
      <w:b/>
      <w:sz w:val="24"/>
      <w:szCs w:val="24"/>
    </w:rPr>
  </w:style>
  <w:style w:type="paragraph" w:customStyle="1" w:styleId="Text">
    <w:name w:val="Text"/>
    <w:basedOn w:val="Normal"/>
    <w:rsid w:val="008A6077"/>
    <w:pPr>
      <w:spacing w:before="120"/>
      <w:ind w:firstLine="720"/>
    </w:pPr>
    <w:rPr>
      <w:rFonts w:eastAsia="Times New Roman"/>
      <w:sz w:val="24"/>
      <w:szCs w:val="24"/>
    </w:rPr>
  </w:style>
  <w:style w:type="paragraph" w:customStyle="1" w:styleId="FigureorTableCaption">
    <w:name w:val="Figure or Table Caption"/>
    <w:basedOn w:val="Normal"/>
    <w:rsid w:val="008A6077"/>
    <w:pPr>
      <w:keepNext/>
      <w:spacing w:before="240"/>
      <w:outlineLvl w:val="0"/>
    </w:pPr>
    <w:rPr>
      <w:rFonts w:eastAsia="Times New Roman"/>
      <w:kern w:val="28"/>
      <w:sz w:val="24"/>
      <w:szCs w:val="24"/>
    </w:rPr>
  </w:style>
  <w:style w:type="character" w:customStyle="1" w:styleId="HeaderChar">
    <w:name w:val="Header Char"/>
    <w:basedOn w:val="DefaultParagraphFont"/>
    <w:link w:val="Header"/>
    <w:uiPriority w:val="99"/>
    <w:rsid w:val="000379AB"/>
    <w:rPr>
      <w:rFonts w:ascii="Times New Roman" w:eastAsia="Calibri" w:hAnsi="Times New Roman" w:cs="Times New Roman"/>
      <w:sz w:val="20"/>
      <w:szCs w:val="20"/>
    </w:rPr>
  </w:style>
  <w:style w:type="character" w:styleId="Hyperlink">
    <w:name w:val="Hyperlink"/>
    <w:uiPriority w:val="99"/>
    <w:rsid w:val="008A6077"/>
    <w:rPr>
      <w:color w:val="0000FF"/>
      <w:u w:val="single"/>
    </w:rPr>
  </w:style>
  <w:style w:type="paragraph" w:customStyle="1" w:styleId="Heading-Main">
    <w:name w:val="Heading-Main"/>
    <w:basedOn w:val="Normal"/>
    <w:link w:val="Heading-MainChar"/>
    <w:rsid w:val="005358D5"/>
    <w:pPr>
      <w:keepNext/>
      <w:spacing w:before="240" w:after="120"/>
      <w:outlineLvl w:val="0"/>
    </w:pPr>
    <w:rPr>
      <w:rFonts w:eastAsia="Times New Roman"/>
      <w:b/>
      <w:bCs/>
      <w:kern w:val="28"/>
      <w:sz w:val="24"/>
      <w:szCs w:val="24"/>
    </w:rPr>
  </w:style>
  <w:style w:type="paragraph" w:customStyle="1" w:styleId="Affiliation">
    <w:name w:val="Affiliation"/>
    <w:basedOn w:val="Text"/>
    <w:qFormat/>
    <w:rsid w:val="00B719C8"/>
    <w:pPr>
      <w:ind w:firstLine="0"/>
    </w:pPr>
  </w:style>
  <w:style w:type="paragraph" w:customStyle="1" w:styleId="KeyPoints">
    <w:name w:val="Key Points"/>
    <w:basedOn w:val="Normal"/>
    <w:rsid w:val="008A6077"/>
    <w:pPr>
      <w:spacing w:before="120"/>
    </w:pPr>
    <w:rPr>
      <w:rFonts w:eastAsia="Times New Roman"/>
      <w:sz w:val="24"/>
      <w:szCs w:val="24"/>
    </w:rPr>
  </w:style>
  <w:style w:type="paragraph" w:customStyle="1" w:styleId="Abstract">
    <w:name w:val="Abstract"/>
    <w:basedOn w:val="Normal"/>
    <w:qFormat/>
    <w:rsid w:val="00400425"/>
    <w:pPr>
      <w:spacing w:before="120"/>
    </w:pPr>
    <w:rPr>
      <w:rFonts w:eastAsia="Times New Roman"/>
      <w:sz w:val="24"/>
      <w:szCs w:val="24"/>
    </w:rPr>
  </w:style>
  <w:style w:type="character" w:customStyle="1" w:styleId="TitleChar">
    <w:name w:val="Title Char"/>
    <w:basedOn w:val="DefaultParagraphFont"/>
    <w:link w:val="Title"/>
    <w:uiPriority w:val="10"/>
    <w:rsid w:val="00400425"/>
    <w:rPr>
      <w:rFonts w:ascii="Times New Roman" w:eastAsiaTheme="majorEastAsia" w:hAnsi="Times New Roman" w:cstheme="majorBidi"/>
      <w:b/>
      <w:spacing w:val="-10"/>
      <w:kern w:val="28"/>
      <w:sz w:val="28"/>
      <w:szCs w:val="56"/>
    </w:rPr>
  </w:style>
  <w:style w:type="paragraph" w:customStyle="1" w:styleId="Note">
    <w:name w:val="Note"/>
    <w:basedOn w:val="Normal"/>
    <w:qFormat/>
    <w:rsid w:val="0037466A"/>
    <w:pPr>
      <w:spacing w:before="240" w:after="240"/>
    </w:pPr>
    <w:rPr>
      <w:color w:val="00B0F0"/>
    </w:rPr>
  </w:style>
  <w:style w:type="paragraph" w:styleId="NormalWeb">
    <w:name w:val="Normal (Web)"/>
    <w:basedOn w:val="Normal"/>
    <w:uiPriority w:val="99"/>
    <w:semiHidden/>
    <w:unhideWhenUsed/>
    <w:rsid w:val="002F3B11"/>
    <w:rPr>
      <w:sz w:val="24"/>
      <w:szCs w:val="24"/>
    </w:rPr>
  </w:style>
  <w:style w:type="paragraph" w:styleId="Footer">
    <w:name w:val="footer"/>
    <w:basedOn w:val="Normal"/>
    <w:link w:val="FooterChar"/>
    <w:uiPriority w:val="99"/>
    <w:unhideWhenUsed/>
    <w:rsid w:val="000379AB"/>
    <w:pPr>
      <w:tabs>
        <w:tab w:val="center" w:pos="4680"/>
        <w:tab w:val="right" w:pos="9360"/>
      </w:tabs>
    </w:pPr>
  </w:style>
  <w:style w:type="character" w:customStyle="1" w:styleId="FooterChar">
    <w:name w:val="Footer Char"/>
    <w:basedOn w:val="DefaultParagraphFont"/>
    <w:link w:val="Footer"/>
    <w:uiPriority w:val="99"/>
    <w:rsid w:val="000379AB"/>
    <w:rPr>
      <w:rFonts w:ascii="Times New Roman" w:eastAsia="Calibri" w:hAnsi="Times New Roman" w:cs="Times New Roman"/>
      <w:sz w:val="20"/>
      <w:szCs w:val="20"/>
    </w:rPr>
  </w:style>
  <w:style w:type="paragraph" w:styleId="ListParagraph">
    <w:name w:val="List Paragraph"/>
    <w:basedOn w:val="Normal"/>
    <w:uiPriority w:val="34"/>
    <w:qFormat/>
    <w:rsid w:val="00D810E5"/>
    <w:pPr>
      <w:spacing w:after="200"/>
      <w:ind w:left="720"/>
      <w:contextualSpacing/>
    </w:pPr>
    <w:rPr>
      <w:rFonts w:asciiTheme="minorHAnsi" w:eastAsiaTheme="minorEastAsia" w:hAnsiTheme="minorHAnsi" w:cstheme="minorBidi"/>
      <w:sz w:val="24"/>
      <w:szCs w:val="24"/>
      <w:lang w:eastAsia="ja-JP"/>
    </w:rPr>
  </w:style>
  <w:style w:type="character" w:styleId="UnresolvedMention">
    <w:name w:val="Unresolved Mention"/>
    <w:basedOn w:val="DefaultParagraphFont"/>
    <w:uiPriority w:val="99"/>
    <w:rsid w:val="00B81C79"/>
    <w:rPr>
      <w:color w:val="808080"/>
      <w:shd w:val="clear" w:color="auto" w:fill="E6E6E6"/>
    </w:rPr>
  </w:style>
  <w:style w:type="paragraph" w:styleId="BalloonText">
    <w:name w:val="Balloon Text"/>
    <w:basedOn w:val="Normal"/>
    <w:link w:val="BalloonTextChar"/>
    <w:uiPriority w:val="99"/>
    <w:semiHidden/>
    <w:unhideWhenUsed/>
    <w:rsid w:val="007B4B93"/>
    <w:rPr>
      <w:rFonts w:ascii="Segoe UI" w:hAnsi="Segoe UI" w:cs="Segoe UI"/>
      <w:sz w:val="18"/>
      <w:szCs w:val="18"/>
    </w:rPr>
  </w:style>
  <w:style w:type="character" w:customStyle="1" w:styleId="BalloonTextChar">
    <w:name w:val="Balloon Text Char"/>
    <w:basedOn w:val="DefaultParagraphFont"/>
    <w:link w:val="BalloonText"/>
    <w:uiPriority w:val="99"/>
    <w:semiHidden/>
    <w:rsid w:val="007B4B93"/>
    <w:rPr>
      <w:rFonts w:ascii="Segoe UI" w:eastAsia="Calibri" w:hAnsi="Segoe UI" w:cs="Segoe UI"/>
      <w:sz w:val="18"/>
      <w:szCs w:val="18"/>
    </w:rPr>
  </w:style>
  <w:style w:type="character" w:styleId="Emphasis">
    <w:name w:val="Emphasis"/>
    <w:basedOn w:val="DefaultParagraphFont"/>
    <w:uiPriority w:val="20"/>
    <w:qFormat/>
    <w:rsid w:val="007B4B93"/>
    <w:rPr>
      <w:i/>
      <w:iCs/>
    </w:rPr>
  </w:style>
  <w:style w:type="character" w:styleId="FollowedHyperlink">
    <w:name w:val="FollowedHyperlink"/>
    <w:basedOn w:val="DefaultParagraphFont"/>
    <w:uiPriority w:val="99"/>
    <w:semiHidden/>
    <w:unhideWhenUsed/>
    <w:rsid w:val="00F45E57"/>
    <w:rPr>
      <w:color w:val="954F72" w:themeColor="followedHyperlink"/>
      <w:u w:val="single"/>
    </w:rPr>
  </w:style>
  <w:style w:type="character" w:styleId="LineNumber">
    <w:name w:val="line number"/>
    <w:basedOn w:val="DefaultParagraphFont"/>
    <w:uiPriority w:val="99"/>
    <w:semiHidden/>
    <w:unhideWhenUsed/>
    <w:rsid w:val="00BD47BB"/>
  </w:style>
  <w:style w:type="character" w:customStyle="1" w:styleId="Heading1Char">
    <w:name w:val="Heading 1 Char"/>
    <w:basedOn w:val="DefaultParagraphFont"/>
    <w:link w:val="Heading1"/>
    <w:uiPriority w:val="9"/>
    <w:rsid w:val="00E65594"/>
    <w:rPr>
      <w:rFonts w:ascii="Arial" w:eastAsia="Arial" w:hAnsi="Arial" w:cs="Arial"/>
      <w:sz w:val="40"/>
      <w:szCs w:val="40"/>
      <w:lang w:val="en" w:eastAsia="en-GB"/>
    </w:rPr>
  </w:style>
  <w:style w:type="character" w:customStyle="1" w:styleId="Heading2Char">
    <w:name w:val="Heading 2 Char"/>
    <w:basedOn w:val="DefaultParagraphFont"/>
    <w:link w:val="Heading2"/>
    <w:uiPriority w:val="9"/>
    <w:rsid w:val="00E65594"/>
    <w:rPr>
      <w:rFonts w:ascii="Arial" w:eastAsia="Arial" w:hAnsi="Arial" w:cs="Arial"/>
      <w:sz w:val="32"/>
      <w:szCs w:val="32"/>
      <w:lang w:val="en" w:eastAsia="en-GB"/>
    </w:rPr>
  </w:style>
  <w:style w:type="character" w:customStyle="1" w:styleId="Heading3Char">
    <w:name w:val="Heading 3 Char"/>
    <w:basedOn w:val="DefaultParagraphFont"/>
    <w:link w:val="Heading3"/>
    <w:uiPriority w:val="9"/>
    <w:rsid w:val="00853CD5"/>
    <w:rPr>
      <w:rFonts w:ascii="Times New Roman" w:eastAsia="Arial" w:hAnsi="Times New Roman" w:cs="Arial"/>
      <w:szCs w:val="28"/>
      <w:lang w:val="en" w:eastAsia="en-GB"/>
    </w:rPr>
  </w:style>
  <w:style w:type="character" w:customStyle="1" w:styleId="Heading4Char">
    <w:name w:val="Heading 4 Char"/>
    <w:basedOn w:val="DefaultParagraphFont"/>
    <w:link w:val="Heading4"/>
    <w:uiPriority w:val="9"/>
    <w:semiHidden/>
    <w:rsid w:val="00E65594"/>
    <w:rPr>
      <w:rFonts w:ascii="Arial" w:eastAsia="Arial" w:hAnsi="Arial" w:cs="Arial"/>
      <w:color w:val="666666"/>
      <w:lang w:val="en" w:eastAsia="en-GB"/>
    </w:rPr>
  </w:style>
  <w:style w:type="character" w:customStyle="1" w:styleId="Heading5Char">
    <w:name w:val="Heading 5 Char"/>
    <w:basedOn w:val="DefaultParagraphFont"/>
    <w:link w:val="Heading5"/>
    <w:uiPriority w:val="9"/>
    <w:semiHidden/>
    <w:rsid w:val="00E65594"/>
    <w:rPr>
      <w:rFonts w:ascii="Arial" w:eastAsia="Arial" w:hAnsi="Arial" w:cs="Arial"/>
      <w:color w:val="666666"/>
      <w:sz w:val="22"/>
      <w:szCs w:val="22"/>
      <w:lang w:val="en" w:eastAsia="en-GB"/>
    </w:rPr>
  </w:style>
  <w:style w:type="character" w:customStyle="1" w:styleId="Heading6Char">
    <w:name w:val="Heading 6 Char"/>
    <w:basedOn w:val="DefaultParagraphFont"/>
    <w:link w:val="Heading6"/>
    <w:uiPriority w:val="9"/>
    <w:semiHidden/>
    <w:rsid w:val="00E65594"/>
    <w:rPr>
      <w:rFonts w:ascii="Arial" w:eastAsia="Arial" w:hAnsi="Arial" w:cs="Arial"/>
      <w:i/>
      <w:color w:val="666666"/>
      <w:sz w:val="22"/>
      <w:szCs w:val="22"/>
      <w:lang w:val="en" w:eastAsia="en-GB"/>
    </w:rPr>
  </w:style>
  <w:style w:type="paragraph" w:styleId="Subtitle">
    <w:name w:val="Subtitle"/>
    <w:basedOn w:val="Normal"/>
    <w:next w:val="Normal"/>
    <w:link w:val="SubtitleChar"/>
    <w:uiPriority w:val="11"/>
    <w:qFormat/>
    <w:rsid w:val="00E65594"/>
    <w:pPr>
      <w:keepNext/>
      <w:keepLines/>
      <w:spacing w:after="320" w:line="276" w:lineRule="auto"/>
    </w:pPr>
    <w:rPr>
      <w:rFonts w:ascii="Arial" w:eastAsia="Arial" w:hAnsi="Arial" w:cs="Arial"/>
      <w:color w:val="666666"/>
      <w:sz w:val="30"/>
      <w:szCs w:val="30"/>
      <w:lang w:val="en" w:eastAsia="en-GB"/>
    </w:rPr>
  </w:style>
  <w:style w:type="character" w:customStyle="1" w:styleId="SubtitleChar">
    <w:name w:val="Subtitle Char"/>
    <w:basedOn w:val="DefaultParagraphFont"/>
    <w:link w:val="Subtitle"/>
    <w:uiPriority w:val="11"/>
    <w:rsid w:val="00E65594"/>
    <w:rPr>
      <w:rFonts w:ascii="Arial" w:eastAsia="Arial" w:hAnsi="Arial" w:cs="Arial"/>
      <w:color w:val="666666"/>
      <w:sz w:val="30"/>
      <w:szCs w:val="30"/>
      <w:lang w:val="en" w:eastAsia="en-GB"/>
    </w:rPr>
  </w:style>
  <w:style w:type="paragraph" w:styleId="Bibliography">
    <w:name w:val="Bibliography"/>
    <w:basedOn w:val="Normal"/>
    <w:next w:val="Normal"/>
    <w:uiPriority w:val="37"/>
    <w:unhideWhenUsed/>
    <w:rsid w:val="00E65594"/>
    <w:pPr>
      <w:spacing w:line="276" w:lineRule="auto"/>
    </w:pPr>
    <w:rPr>
      <w:rFonts w:ascii="Arial" w:eastAsia="Arial" w:hAnsi="Arial" w:cs="Arial"/>
      <w:sz w:val="22"/>
      <w:szCs w:val="22"/>
      <w:lang w:val="en" w:eastAsia="en-GB"/>
    </w:rPr>
  </w:style>
  <w:style w:type="paragraph" w:customStyle="1" w:styleId="Heading-AGU">
    <w:name w:val="Heading-AGU"/>
    <w:basedOn w:val="Heading-Main"/>
    <w:link w:val="Heading-AGUChar"/>
    <w:qFormat/>
    <w:rsid w:val="00E65594"/>
  </w:style>
  <w:style w:type="character" w:customStyle="1" w:styleId="Heading-MainChar">
    <w:name w:val="Heading-Main Char"/>
    <w:basedOn w:val="DefaultParagraphFont"/>
    <w:link w:val="Heading-Main"/>
    <w:rsid w:val="00E65594"/>
    <w:rPr>
      <w:rFonts w:ascii="Times New Roman" w:eastAsia="Times New Roman" w:hAnsi="Times New Roman" w:cs="Times New Roman"/>
      <w:b/>
      <w:bCs/>
      <w:kern w:val="28"/>
    </w:rPr>
  </w:style>
  <w:style w:type="character" w:customStyle="1" w:styleId="Heading-AGUChar">
    <w:name w:val="Heading-AGU Char"/>
    <w:basedOn w:val="Heading-MainChar"/>
    <w:link w:val="Heading-AGU"/>
    <w:rsid w:val="00E65594"/>
    <w:rPr>
      <w:rFonts w:ascii="Times New Roman" w:eastAsia="Times New Roman" w:hAnsi="Times New Roman" w:cs="Times New Roman"/>
      <w:b/>
      <w:bCs/>
      <w:kern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10844717">
      <w:bodyDiv w:val="1"/>
      <w:marLeft w:val="0"/>
      <w:marRight w:val="0"/>
      <w:marTop w:val="0"/>
      <w:marBottom w:val="0"/>
      <w:divBdr>
        <w:top w:val="none" w:sz="0" w:space="0" w:color="auto"/>
        <w:left w:val="none" w:sz="0" w:space="0" w:color="auto"/>
        <w:bottom w:val="none" w:sz="0" w:space="0" w:color="auto"/>
        <w:right w:val="none" w:sz="0" w:space="0" w:color="auto"/>
      </w:divBdr>
    </w:div>
    <w:div w:id="241108731">
      <w:bodyDiv w:val="1"/>
      <w:marLeft w:val="0"/>
      <w:marRight w:val="0"/>
      <w:marTop w:val="0"/>
      <w:marBottom w:val="0"/>
      <w:divBdr>
        <w:top w:val="none" w:sz="0" w:space="0" w:color="auto"/>
        <w:left w:val="none" w:sz="0" w:space="0" w:color="auto"/>
        <w:bottom w:val="none" w:sz="0" w:space="0" w:color="auto"/>
        <w:right w:val="none" w:sz="0" w:space="0" w:color="auto"/>
      </w:divBdr>
    </w:div>
    <w:div w:id="345134175">
      <w:bodyDiv w:val="1"/>
      <w:marLeft w:val="0"/>
      <w:marRight w:val="0"/>
      <w:marTop w:val="0"/>
      <w:marBottom w:val="0"/>
      <w:divBdr>
        <w:top w:val="none" w:sz="0" w:space="0" w:color="auto"/>
        <w:left w:val="none" w:sz="0" w:space="0" w:color="auto"/>
        <w:bottom w:val="none" w:sz="0" w:space="0" w:color="auto"/>
        <w:right w:val="none" w:sz="0" w:space="0" w:color="auto"/>
      </w:divBdr>
    </w:div>
    <w:div w:id="704406528">
      <w:bodyDiv w:val="1"/>
      <w:marLeft w:val="0"/>
      <w:marRight w:val="0"/>
      <w:marTop w:val="0"/>
      <w:marBottom w:val="0"/>
      <w:divBdr>
        <w:top w:val="none" w:sz="0" w:space="0" w:color="auto"/>
        <w:left w:val="none" w:sz="0" w:space="0" w:color="auto"/>
        <w:bottom w:val="none" w:sz="0" w:space="0" w:color="auto"/>
        <w:right w:val="none" w:sz="0" w:space="0" w:color="auto"/>
      </w:divBdr>
    </w:div>
    <w:div w:id="812676312">
      <w:bodyDiv w:val="1"/>
      <w:marLeft w:val="0"/>
      <w:marRight w:val="0"/>
      <w:marTop w:val="0"/>
      <w:marBottom w:val="0"/>
      <w:divBdr>
        <w:top w:val="none" w:sz="0" w:space="0" w:color="auto"/>
        <w:left w:val="none" w:sz="0" w:space="0" w:color="auto"/>
        <w:bottom w:val="none" w:sz="0" w:space="0" w:color="auto"/>
        <w:right w:val="none" w:sz="0" w:space="0" w:color="auto"/>
      </w:divBdr>
    </w:div>
    <w:div w:id="877201397">
      <w:bodyDiv w:val="1"/>
      <w:marLeft w:val="0"/>
      <w:marRight w:val="0"/>
      <w:marTop w:val="0"/>
      <w:marBottom w:val="0"/>
      <w:divBdr>
        <w:top w:val="none" w:sz="0" w:space="0" w:color="auto"/>
        <w:left w:val="none" w:sz="0" w:space="0" w:color="auto"/>
        <w:bottom w:val="none" w:sz="0" w:space="0" w:color="auto"/>
        <w:right w:val="none" w:sz="0" w:space="0" w:color="auto"/>
      </w:divBdr>
    </w:div>
    <w:div w:id="993794968">
      <w:bodyDiv w:val="1"/>
      <w:marLeft w:val="0"/>
      <w:marRight w:val="0"/>
      <w:marTop w:val="0"/>
      <w:marBottom w:val="0"/>
      <w:divBdr>
        <w:top w:val="none" w:sz="0" w:space="0" w:color="auto"/>
        <w:left w:val="none" w:sz="0" w:space="0" w:color="auto"/>
        <w:bottom w:val="none" w:sz="0" w:space="0" w:color="auto"/>
        <w:right w:val="none" w:sz="0" w:space="0" w:color="auto"/>
      </w:divBdr>
    </w:div>
    <w:div w:id="1017734784">
      <w:bodyDiv w:val="1"/>
      <w:marLeft w:val="0"/>
      <w:marRight w:val="0"/>
      <w:marTop w:val="0"/>
      <w:marBottom w:val="0"/>
      <w:divBdr>
        <w:top w:val="none" w:sz="0" w:space="0" w:color="auto"/>
        <w:left w:val="none" w:sz="0" w:space="0" w:color="auto"/>
        <w:bottom w:val="none" w:sz="0" w:space="0" w:color="auto"/>
        <w:right w:val="none" w:sz="0" w:space="0" w:color="auto"/>
      </w:divBdr>
    </w:div>
    <w:div w:id="1254120579">
      <w:bodyDiv w:val="1"/>
      <w:marLeft w:val="0"/>
      <w:marRight w:val="0"/>
      <w:marTop w:val="0"/>
      <w:marBottom w:val="0"/>
      <w:divBdr>
        <w:top w:val="none" w:sz="0" w:space="0" w:color="auto"/>
        <w:left w:val="none" w:sz="0" w:space="0" w:color="auto"/>
        <w:bottom w:val="none" w:sz="0" w:space="0" w:color="auto"/>
        <w:right w:val="none" w:sz="0" w:space="0" w:color="auto"/>
      </w:divBdr>
    </w:div>
    <w:div w:id="1326199967">
      <w:bodyDiv w:val="1"/>
      <w:marLeft w:val="0"/>
      <w:marRight w:val="0"/>
      <w:marTop w:val="0"/>
      <w:marBottom w:val="0"/>
      <w:divBdr>
        <w:top w:val="none" w:sz="0" w:space="0" w:color="auto"/>
        <w:left w:val="none" w:sz="0" w:space="0" w:color="auto"/>
        <w:bottom w:val="none" w:sz="0" w:space="0" w:color="auto"/>
        <w:right w:val="none" w:sz="0" w:space="0" w:color="auto"/>
      </w:divBdr>
    </w:div>
    <w:div w:id="1496415768">
      <w:bodyDiv w:val="1"/>
      <w:marLeft w:val="0"/>
      <w:marRight w:val="0"/>
      <w:marTop w:val="0"/>
      <w:marBottom w:val="0"/>
      <w:divBdr>
        <w:top w:val="none" w:sz="0" w:space="0" w:color="auto"/>
        <w:left w:val="none" w:sz="0" w:space="0" w:color="auto"/>
        <w:bottom w:val="none" w:sz="0" w:space="0" w:color="auto"/>
        <w:right w:val="none" w:sz="0" w:space="0" w:color="auto"/>
      </w:divBdr>
    </w:div>
    <w:div w:id="1524050897">
      <w:bodyDiv w:val="1"/>
      <w:marLeft w:val="0"/>
      <w:marRight w:val="0"/>
      <w:marTop w:val="0"/>
      <w:marBottom w:val="0"/>
      <w:divBdr>
        <w:top w:val="none" w:sz="0" w:space="0" w:color="auto"/>
        <w:left w:val="none" w:sz="0" w:space="0" w:color="auto"/>
        <w:bottom w:val="none" w:sz="0" w:space="0" w:color="auto"/>
        <w:right w:val="none" w:sz="0" w:space="0" w:color="auto"/>
      </w:divBdr>
    </w:div>
    <w:div w:id="1572689984">
      <w:bodyDiv w:val="1"/>
      <w:marLeft w:val="0"/>
      <w:marRight w:val="0"/>
      <w:marTop w:val="0"/>
      <w:marBottom w:val="0"/>
      <w:divBdr>
        <w:top w:val="none" w:sz="0" w:space="0" w:color="auto"/>
        <w:left w:val="none" w:sz="0" w:space="0" w:color="auto"/>
        <w:bottom w:val="none" w:sz="0" w:space="0" w:color="auto"/>
        <w:right w:val="none" w:sz="0" w:space="0" w:color="auto"/>
      </w:divBdr>
    </w:div>
    <w:div w:id="1653018542">
      <w:bodyDiv w:val="1"/>
      <w:marLeft w:val="0"/>
      <w:marRight w:val="0"/>
      <w:marTop w:val="0"/>
      <w:marBottom w:val="0"/>
      <w:divBdr>
        <w:top w:val="none" w:sz="0" w:space="0" w:color="auto"/>
        <w:left w:val="none" w:sz="0" w:space="0" w:color="auto"/>
        <w:bottom w:val="none" w:sz="0" w:space="0" w:color="auto"/>
        <w:right w:val="none" w:sz="0" w:space="0" w:color="auto"/>
      </w:divBdr>
    </w:div>
    <w:div w:id="1699696663">
      <w:bodyDiv w:val="1"/>
      <w:marLeft w:val="0"/>
      <w:marRight w:val="0"/>
      <w:marTop w:val="0"/>
      <w:marBottom w:val="0"/>
      <w:divBdr>
        <w:top w:val="none" w:sz="0" w:space="0" w:color="auto"/>
        <w:left w:val="none" w:sz="0" w:space="0" w:color="auto"/>
        <w:bottom w:val="none" w:sz="0" w:space="0" w:color="auto"/>
        <w:right w:val="none" w:sz="0" w:space="0" w:color="auto"/>
      </w:divBdr>
    </w:div>
    <w:div w:id="1858538578">
      <w:bodyDiv w:val="1"/>
      <w:marLeft w:val="0"/>
      <w:marRight w:val="0"/>
      <w:marTop w:val="0"/>
      <w:marBottom w:val="0"/>
      <w:divBdr>
        <w:top w:val="none" w:sz="0" w:space="0" w:color="auto"/>
        <w:left w:val="none" w:sz="0" w:space="0" w:color="auto"/>
        <w:bottom w:val="none" w:sz="0" w:space="0" w:color="auto"/>
        <w:right w:val="none" w:sz="0" w:space="0" w:color="auto"/>
      </w:divBdr>
    </w:div>
    <w:div w:id="2086684072">
      <w:bodyDiv w:val="1"/>
      <w:marLeft w:val="0"/>
      <w:marRight w:val="0"/>
      <w:marTop w:val="0"/>
      <w:marBottom w:val="0"/>
      <w:divBdr>
        <w:top w:val="none" w:sz="0" w:space="0" w:color="auto"/>
        <w:left w:val="none" w:sz="0" w:space="0" w:color="auto"/>
        <w:bottom w:val="none" w:sz="0" w:space="0" w:color="auto"/>
        <w:right w:val="none" w:sz="0" w:space="0" w:color="auto"/>
      </w:divBdr>
    </w:div>
  </w:divs>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image" Target="media/image3.jpg"/><Relationship Id="rId18" Type="http://schemas.openxmlformats.org/officeDocument/2006/relationships/hyperlink" Target="https://www.zotero.org/google-docs/?broken=SMN8AU" TargetMode="External"/><Relationship Id="rId3" Type="http://schemas.openxmlformats.org/officeDocument/2006/relationships/settings" Target="settings.xml"/><Relationship Id="rId7" Type="http://schemas.openxmlformats.org/officeDocument/2006/relationships/header" Target="header1.xml"/><Relationship Id="rId12" Type="http://schemas.openxmlformats.org/officeDocument/2006/relationships/image" Target="media/image2.jpg"/><Relationship Id="rId17" Type="http://schemas.openxmlformats.org/officeDocument/2006/relationships/image" Target="media/image7.jpg"/><Relationship Id="rId2" Type="http://schemas.openxmlformats.org/officeDocument/2006/relationships/styles" Target="styles.xml"/><Relationship Id="rId16" Type="http://schemas.openxmlformats.org/officeDocument/2006/relationships/image" Target="media/image6.jpg"/><Relationship Id="rId20"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1.jpeg"/><Relationship Id="rId5" Type="http://schemas.openxmlformats.org/officeDocument/2006/relationships/footnotes" Target="footnotes.xml"/><Relationship Id="rId15" Type="http://schemas.openxmlformats.org/officeDocument/2006/relationships/image" Target="media/image5.jpg"/><Relationship Id="rId10" Type="http://schemas.openxmlformats.org/officeDocument/2006/relationships/hyperlink" Target="mailto:ian.pierce@earth.ox.ac.uk)" TargetMode="External"/><Relationship Id="rId19"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header" Target="header2.xml"/><Relationship Id="rId14" Type="http://schemas.openxmlformats.org/officeDocument/2006/relationships/image" Target="media/image4.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66</TotalTime>
  <Pages>20</Pages>
  <Words>15271</Words>
  <Characters>87050</Characters>
  <Application>Microsoft Office Word</Application>
  <DocSecurity>0</DocSecurity>
  <Lines>725</Lines>
  <Paragraphs>204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102117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Brooks Hanson</dc:creator>
  <cp:keywords/>
  <dc:description/>
  <cp:lastModifiedBy>Ian</cp:lastModifiedBy>
  <cp:revision>5</cp:revision>
  <dcterms:created xsi:type="dcterms:W3CDTF">2022-12-14T18:05:00Z</dcterms:created>
  <dcterms:modified xsi:type="dcterms:W3CDTF">2022-12-14T19:10:00Z</dcterms:modified>
</cp:coreProperties>
</file>