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E4" w:rsidRDefault="002A75E4">
      <w:pPr>
        <w:widowControl/>
        <w:jc w:val="lef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A3F8CD5" wp14:editId="430A8FC3">
            <wp:extent cx="5400040" cy="3123445"/>
            <wp:effectExtent l="0" t="0" r="0" b="127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A75E4" w:rsidRDefault="002A75E4">
      <w:pPr>
        <w:widowControl/>
        <w:jc w:val="left"/>
        <w:rPr>
          <w:rFonts w:ascii="Times New Roman" w:hAnsi="Times New Roman" w:cs="Times New Roman"/>
        </w:rPr>
      </w:pPr>
    </w:p>
    <w:p w:rsidR="002A75E4" w:rsidRDefault="000B30CE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F</w:t>
      </w:r>
      <w:r w:rsidR="00E31FE1">
        <w:rPr>
          <w:rFonts w:ascii="Times New Roman" w:hAnsi="Times New Roman" w:cs="Times New Roman" w:hint="eastAsia"/>
        </w:rPr>
        <w:t>IGURE 1</w:t>
      </w:r>
      <w:bookmarkStart w:id="0" w:name="_GoBack"/>
      <w:bookmarkEnd w:id="0"/>
      <w:r>
        <w:rPr>
          <w:rFonts w:ascii="Times New Roman" w:hAnsi="Times New Roman" w:cs="Times New Roman" w:hint="eastAsia"/>
        </w:rPr>
        <w:t xml:space="preserve">  Evolution of annual risk of ASF entry into Japan </w:t>
      </w:r>
      <w:r>
        <w:rPr>
          <w:rFonts w:ascii="Times New Roman" w:hAnsi="Times New Roman" w:cs="Times New Roman"/>
        </w:rPr>
        <w:t xml:space="preserve">during </w:t>
      </w:r>
      <w:r>
        <w:rPr>
          <w:rFonts w:ascii="Times New Roman" w:hAnsi="Times New Roman" w:cs="Times New Roman" w:hint="eastAsia"/>
        </w:rPr>
        <w:t>the first four months of 2020</w:t>
      </w:r>
      <w:r w:rsidR="00DF7FA1">
        <w:rPr>
          <w:rFonts w:ascii="Times New Roman" w:hAnsi="Times New Roman" w:cs="Times New Roman" w:hint="eastAsia"/>
        </w:rPr>
        <w:t xml:space="preserve">. </w:t>
      </w:r>
      <w:r w:rsidR="00DF7FA1" w:rsidRPr="00DF7FA1">
        <w:rPr>
          <w:rFonts w:ascii="Times New Roman" w:hAnsi="Times New Roman" w:cs="Times New Roman"/>
        </w:rPr>
        <w:t>For each box-whisker plot, the line in the box indicates the mean; the length of the box indicates the inter-quartile range; the whiskers indicate the 5th percentile and the 95th percentile respectively.</w:t>
      </w:r>
    </w:p>
    <w:p w:rsidR="002A75E4" w:rsidRDefault="002A75E4">
      <w:pPr>
        <w:widowControl/>
        <w:jc w:val="left"/>
        <w:rPr>
          <w:rFonts w:ascii="Times New Roman" w:hAnsi="Times New Roman" w:cs="Times New Roman"/>
        </w:rPr>
      </w:pPr>
    </w:p>
    <w:sectPr w:rsidR="002A75E4" w:rsidSect="0030578F">
      <w:footerReference w:type="default" r:id="rId10"/>
      <w:pgSz w:w="11906" w:h="16838"/>
      <w:pgMar w:top="1985" w:right="1701" w:bottom="1701" w:left="1701" w:header="851" w:footer="992" w:gutter="0"/>
      <w:lnNumType w:countBy="1" w:restart="continuous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544" w:rsidRDefault="00096544" w:rsidP="00AC318D">
      <w:r>
        <w:separator/>
      </w:r>
    </w:p>
  </w:endnote>
  <w:endnote w:type="continuationSeparator" w:id="0">
    <w:p w:rsidR="00096544" w:rsidRDefault="00096544" w:rsidP="00AC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2382852"/>
      <w:docPartObj>
        <w:docPartGallery w:val="Page Numbers (Bottom of Page)"/>
        <w:docPartUnique/>
      </w:docPartObj>
    </w:sdtPr>
    <w:sdtEndPr/>
    <w:sdtContent>
      <w:p w:rsidR="00AC318D" w:rsidRDefault="00AC31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FE1" w:rsidRPr="00E31FE1">
          <w:rPr>
            <w:noProof/>
            <w:lang w:val="ja-JP"/>
          </w:rPr>
          <w:t>1</w:t>
        </w:r>
        <w:r>
          <w:fldChar w:fldCharType="end"/>
        </w:r>
      </w:p>
    </w:sdtContent>
  </w:sdt>
  <w:p w:rsidR="00AC318D" w:rsidRDefault="00AC31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544" w:rsidRDefault="00096544" w:rsidP="00AC318D">
      <w:r>
        <w:separator/>
      </w:r>
    </w:p>
  </w:footnote>
  <w:footnote w:type="continuationSeparator" w:id="0">
    <w:p w:rsidR="00096544" w:rsidRDefault="00096544" w:rsidP="00AC3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34DBA"/>
    <w:multiLevelType w:val="hybridMultilevel"/>
    <w:tmpl w:val="50B6A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2022D"/>
    <w:multiLevelType w:val="hybridMultilevel"/>
    <w:tmpl w:val="DC3C8F9E"/>
    <w:lvl w:ilvl="0" w:tplc="83666F0E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8A"/>
    <w:rsid w:val="00004C15"/>
    <w:rsid w:val="000060D1"/>
    <w:rsid w:val="00007C11"/>
    <w:rsid w:val="00063188"/>
    <w:rsid w:val="00085AC2"/>
    <w:rsid w:val="00096544"/>
    <w:rsid w:val="000A5B1F"/>
    <w:rsid w:val="000A6DB8"/>
    <w:rsid w:val="000B30CE"/>
    <w:rsid w:val="000B4D6E"/>
    <w:rsid w:val="000C0357"/>
    <w:rsid w:val="000D212A"/>
    <w:rsid w:val="000E70BF"/>
    <w:rsid w:val="0011152D"/>
    <w:rsid w:val="00112974"/>
    <w:rsid w:val="00124338"/>
    <w:rsid w:val="00124A16"/>
    <w:rsid w:val="00165BF9"/>
    <w:rsid w:val="001A45D2"/>
    <w:rsid w:val="001B05BB"/>
    <w:rsid w:val="001B0E88"/>
    <w:rsid w:val="001B120F"/>
    <w:rsid w:val="001B5568"/>
    <w:rsid w:val="001C0321"/>
    <w:rsid w:val="001C43B4"/>
    <w:rsid w:val="001C5A6A"/>
    <w:rsid w:val="00205200"/>
    <w:rsid w:val="00207802"/>
    <w:rsid w:val="0021668A"/>
    <w:rsid w:val="0022304E"/>
    <w:rsid w:val="0024171F"/>
    <w:rsid w:val="0024610B"/>
    <w:rsid w:val="002616F4"/>
    <w:rsid w:val="0028474E"/>
    <w:rsid w:val="002931B9"/>
    <w:rsid w:val="0029332B"/>
    <w:rsid w:val="002A18E5"/>
    <w:rsid w:val="002A75E4"/>
    <w:rsid w:val="002B1B72"/>
    <w:rsid w:val="002D161F"/>
    <w:rsid w:val="002D34F0"/>
    <w:rsid w:val="002D4812"/>
    <w:rsid w:val="002E54A7"/>
    <w:rsid w:val="002F65D9"/>
    <w:rsid w:val="00302153"/>
    <w:rsid w:val="00305223"/>
    <w:rsid w:val="003052D3"/>
    <w:rsid w:val="0030578F"/>
    <w:rsid w:val="0030707D"/>
    <w:rsid w:val="003100A3"/>
    <w:rsid w:val="00316B3C"/>
    <w:rsid w:val="00324229"/>
    <w:rsid w:val="00327306"/>
    <w:rsid w:val="0032786C"/>
    <w:rsid w:val="003429D2"/>
    <w:rsid w:val="0034365B"/>
    <w:rsid w:val="003565BD"/>
    <w:rsid w:val="00371D2C"/>
    <w:rsid w:val="00390901"/>
    <w:rsid w:val="003A04D0"/>
    <w:rsid w:val="003A0979"/>
    <w:rsid w:val="003C353A"/>
    <w:rsid w:val="003C6777"/>
    <w:rsid w:val="003D3682"/>
    <w:rsid w:val="004233D4"/>
    <w:rsid w:val="00427EC2"/>
    <w:rsid w:val="00473DC6"/>
    <w:rsid w:val="00481B1A"/>
    <w:rsid w:val="004C10F8"/>
    <w:rsid w:val="004D0B91"/>
    <w:rsid w:val="004D7A44"/>
    <w:rsid w:val="004F2E5E"/>
    <w:rsid w:val="00504636"/>
    <w:rsid w:val="005157B2"/>
    <w:rsid w:val="0053244D"/>
    <w:rsid w:val="005403AB"/>
    <w:rsid w:val="00566AE0"/>
    <w:rsid w:val="00566E57"/>
    <w:rsid w:val="005727DA"/>
    <w:rsid w:val="00574D65"/>
    <w:rsid w:val="00595E9F"/>
    <w:rsid w:val="005B2F1D"/>
    <w:rsid w:val="005B495A"/>
    <w:rsid w:val="005B792B"/>
    <w:rsid w:val="005C7EE8"/>
    <w:rsid w:val="005D31A0"/>
    <w:rsid w:val="005D359A"/>
    <w:rsid w:val="005E18D1"/>
    <w:rsid w:val="00617F65"/>
    <w:rsid w:val="00644845"/>
    <w:rsid w:val="006512B7"/>
    <w:rsid w:val="0068080B"/>
    <w:rsid w:val="00681058"/>
    <w:rsid w:val="00683239"/>
    <w:rsid w:val="006A1C48"/>
    <w:rsid w:val="006A321B"/>
    <w:rsid w:val="006B3DCF"/>
    <w:rsid w:val="006C1BCC"/>
    <w:rsid w:val="006C521E"/>
    <w:rsid w:val="00711A18"/>
    <w:rsid w:val="007211E5"/>
    <w:rsid w:val="00733E2D"/>
    <w:rsid w:val="00737045"/>
    <w:rsid w:val="00746928"/>
    <w:rsid w:val="007549F9"/>
    <w:rsid w:val="0076065C"/>
    <w:rsid w:val="00775DB8"/>
    <w:rsid w:val="00781BEE"/>
    <w:rsid w:val="00790709"/>
    <w:rsid w:val="00792E76"/>
    <w:rsid w:val="007947E5"/>
    <w:rsid w:val="007A0B78"/>
    <w:rsid w:val="007A663A"/>
    <w:rsid w:val="007B2135"/>
    <w:rsid w:val="007C104A"/>
    <w:rsid w:val="007D3FB6"/>
    <w:rsid w:val="007E68EE"/>
    <w:rsid w:val="0080414C"/>
    <w:rsid w:val="008056FA"/>
    <w:rsid w:val="00807199"/>
    <w:rsid w:val="0084312C"/>
    <w:rsid w:val="00856404"/>
    <w:rsid w:val="00864731"/>
    <w:rsid w:val="00870292"/>
    <w:rsid w:val="00883633"/>
    <w:rsid w:val="008918B4"/>
    <w:rsid w:val="008924B5"/>
    <w:rsid w:val="008956DD"/>
    <w:rsid w:val="008B4BB7"/>
    <w:rsid w:val="008D26A2"/>
    <w:rsid w:val="008D75B8"/>
    <w:rsid w:val="008E57AE"/>
    <w:rsid w:val="008F4D7A"/>
    <w:rsid w:val="00907459"/>
    <w:rsid w:val="00932F1A"/>
    <w:rsid w:val="009924A4"/>
    <w:rsid w:val="00992893"/>
    <w:rsid w:val="00993ADA"/>
    <w:rsid w:val="009A38D9"/>
    <w:rsid w:val="009F6C80"/>
    <w:rsid w:val="00A10CFA"/>
    <w:rsid w:val="00A247B4"/>
    <w:rsid w:val="00A56BA2"/>
    <w:rsid w:val="00A57D2F"/>
    <w:rsid w:val="00A75C3D"/>
    <w:rsid w:val="00AC318D"/>
    <w:rsid w:val="00AD1FC2"/>
    <w:rsid w:val="00AD5D30"/>
    <w:rsid w:val="00AE1DBF"/>
    <w:rsid w:val="00AE1F94"/>
    <w:rsid w:val="00AF032F"/>
    <w:rsid w:val="00AF59BD"/>
    <w:rsid w:val="00B02E58"/>
    <w:rsid w:val="00B20116"/>
    <w:rsid w:val="00B23368"/>
    <w:rsid w:val="00B52913"/>
    <w:rsid w:val="00B6786D"/>
    <w:rsid w:val="00B71989"/>
    <w:rsid w:val="00B84E04"/>
    <w:rsid w:val="00BB6DE9"/>
    <w:rsid w:val="00BD280F"/>
    <w:rsid w:val="00BF2122"/>
    <w:rsid w:val="00BF3B71"/>
    <w:rsid w:val="00C0099A"/>
    <w:rsid w:val="00C12788"/>
    <w:rsid w:val="00C34E26"/>
    <w:rsid w:val="00C64751"/>
    <w:rsid w:val="00C65D51"/>
    <w:rsid w:val="00CB0909"/>
    <w:rsid w:val="00CC3761"/>
    <w:rsid w:val="00CD0EF9"/>
    <w:rsid w:val="00CD770B"/>
    <w:rsid w:val="00CE05BC"/>
    <w:rsid w:val="00CE5F10"/>
    <w:rsid w:val="00D00B1A"/>
    <w:rsid w:val="00D02D77"/>
    <w:rsid w:val="00D44277"/>
    <w:rsid w:val="00D511A2"/>
    <w:rsid w:val="00D5453E"/>
    <w:rsid w:val="00D65232"/>
    <w:rsid w:val="00D70F17"/>
    <w:rsid w:val="00D710D3"/>
    <w:rsid w:val="00D8531F"/>
    <w:rsid w:val="00D87C53"/>
    <w:rsid w:val="00DC1955"/>
    <w:rsid w:val="00DC4889"/>
    <w:rsid w:val="00DE3F5B"/>
    <w:rsid w:val="00DF7FA1"/>
    <w:rsid w:val="00E14138"/>
    <w:rsid w:val="00E31FE1"/>
    <w:rsid w:val="00E326B5"/>
    <w:rsid w:val="00E41512"/>
    <w:rsid w:val="00E724E0"/>
    <w:rsid w:val="00E853BD"/>
    <w:rsid w:val="00E86631"/>
    <w:rsid w:val="00E91E72"/>
    <w:rsid w:val="00E9238A"/>
    <w:rsid w:val="00E94441"/>
    <w:rsid w:val="00E955AB"/>
    <w:rsid w:val="00EB75ED"/>
    <w:rsid w:val="00ED7C58"/>
    <w:rsid w:val="00EE4FCA"/>
    <w:rsid w:val="00F010A4"/>
    <w:rsid w:val="00F02665"/>
    <w:rsid w:val="00F0327C"/>
    <w:rsid w:val="00F07BD7"/>
    <w:rsid w:val="00F327E6"/>
    <w:rsid w:val="00F34EE8"/>
    <w:rsid w:val="00F626F6"/>
    <w:rsid w:val="00F64ADE"/>
    <w:rsid w:val="00F80BFE"/>
    <w:rsid w:val="00F95E64"/>
    <w:rsid w:val="00FB441C"/>
    <w:rsid w:val="00FB7041"/>
    <w:rsid w:val="00FC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DE9"/>
    <w:rPr>
      <w:rFonts w:ascii="MS UI Gothic" w:eastAsia="MS UI Gothic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B6DE9"/>
    <w:rPr>
      <w:rFonts w:ascii="MS UI Gothic" w:eastAsia="MS UI Gothic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318D"/>
    <w:pPr>
      <w:tabs>
        <w:tab w:val="center" w:pos="4419"/>
        <w:tab w:val="right" w:pos="8838"/>
      </w:tabs>
    </w:pPr>
  </w:style>
  <w:style w:type="character" w:customStyle="1" w:styleId="a6">
    <w:name w:val="ヘッダー (文字)"/>
    <w:basedOn w:val="a0"/>
    <w:link w:val="a5"/>
    <w:uiPriority w:val="99"/>
    <w:rsid w:val="00AC318D"/>
  </w:style>
  <w:style w:type="paragraph" w:styleId="a7">
    <w:name w:val="footer"/>
    <w:basedOn w:val="a"/>
    <w:link w:val="a8"/>
    <w:uiPriority w:val="99"/>
    <w:unhideWhenUsed/>
    <w:rsid w:val="00AC318D"/>
    <w:pPr>
      <w:tabs>
        <w:tab w:val="center" w:pos="4419"/>
        <w:tab w:val="right" w:pos="8838"/>
      </w:tabs>
    </w:pPr>
  </w:style>
  <w:style w:type="character" w:customStyle="1" w:styleId="a8">
    <w:name w:val="フッター (文字)"/>
    <w:basedOn w:val="a0"/>
    <w:link w:val="a7"/>
    <w:uiPriority w:val="99"/>
    <w:rsid w:val="00AC318D"/>
  </w:style>
  <w:style w:type="character" w:styleId="a9">
    <w:name w:val="Hyperlink"/>
    <w:basedOn w:val="a0"/>
    <w:uiPriority w:val="99"/>
    <w:unhideWhenUsed/>
    <w:rsid w:val="001C03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41512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305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DE9"/>
    <w:rPr>
      <w:rFonts w:ascii="MS UI Gothic" w:eastAsia="MS UI Gothic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B6DE9"/>
    <w:rPr>
      <w:rFonts w:ascii="MS UI Gothic" w:eastAsia="MS UI Gothic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318D"/>
    <w:pPr>
      <w:tabs>
        <w:tab w:val="center" w:pos="4419"/>
        <w:tab w:val="right" w:pos="8838"/>
      </w:tabs>
    </w:pPr>
  </w:style>
  <w:style w:type="character" w:customStyle="1" w:styleId="a6">
    <w:name w:val="ヘッダー (文字)"/>
    <w:basedOn w:val="a0"/>
    <w:link w:val="a5"/>
    <w:uiPriority w:val="99"/>
    <w:rsid w:val="00AC318D"/>
  </w:style>
  <w:style w:type="paragraph" w:styleId="a7">
    <w:name w:val="footer"/>
    <w:basedOn w:val="a"/>
    <w:link w:val="a8"/>
    <w:uiPriority w:val="99"/>
    <w:unhideWhenUsed/>
    <w:rsid w:val="00AC318D"/>
    <w:pPr>
      <w:tabs>
        <w:tab w:val="center" w:pos="4419"/>
        <w:tab w:val="right" w:pos="8838"/>
      </w:tabs>
    </w:pPr>
  </w:style>
  <w:style w:type="character" w:customStyle="1" w:styleId="a8">
    <w:name w:val="フッター (文字)"/>
    <w:basedOn w:val="a0"/>
    <w:link w:val="a7"/>
    <w:uiPriority w:val="99"/>
    <w:rsid w:val="00AC318D"/>
  </w:style>
  <w:style w:type="character" w:styleId="a9">
    <w:name w:val="Hyperlink"/>
    <w:basedOn w:val="a0"/>
    <w:uiPriority w:val="99"/>
    <w:unhideWhenUsed/>
    <w:rsid w:val="001C032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41512"/>
    <w:pPr>
      <w:ind w:left="720"/>
      <w:contextualSpacing/>
    </w:pPr>
  </w:style>
  <w:style w:type="character" w:styleId="ab">
    <w:name w:val="line number"/>
    <w:basedOn w:val="a0"/>
    <w:uiPriority w:val="99"/>
    <w:semiHidden/>
    <w:unhideWhenUsed/>
    <w:rsid w:val="0030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096521507248094"/>
          <c:y val="9.8606965174129355E-2"/>
          <c:w val="0.80957159576595727"/>
          <c:h val="0.73136469881563315"/>
        </c:manualLayout>
      </c:layout>
      <c:barChart>
        <c:barDir val="col"/>
        <c:grouping val="stacked"/>
        <c:varyColors val="0"/>
        <c:ser>
          <c:idx val="7"/>
          <c:order val="7"/>
          <c:spPr>
            <a:noFill/>
            <a:ln w="25400">
              <a:noFill/>
            </a:ln>
          </c:spPr>
          <c:invertIfNegative val="0"/>
          <c:cat>
            <c:strRef>
              <c:f>Sheet2!$A$2502:$A$2508</c:f>
              <c:strCache>
                <c:ptCount val="6"/>
                <c:pt idx="1">
                  <c:v>2019</c:v>
                </c:pt>
                <c:pt idx="2">
                  <c:v>Jan 2020</c:v>
                </c:pt>
                <c:pt idx="3">
                  <c:v>Feb 2020</c:v>
                </c:pt>
                <c:pt idx="4">
                  <c:v>Mar 2020</c:v>
                </c:pt>
                <c:pt idx="5">
                  <c:v>Apr 2020</c:v>
                </c:pt>
              </c:strCache>
            </c:strRef>
          </c:cat>
          <c:val>
            <c:numRef>
              <c:f>Sheet2!$B$2502:$B$2508</c:f>
              <c:numCache>
                <c:formatCode>General</c:formatCode>
                <c:ptCount val="7"/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8"/>
          <c:order val="8"/>
          <c:tx>
            <c:v>       5%</c:v>
          </c:tx>
          <c:spPr>
            <a:noFill/>
            <a:ln w="25400">
              <a:noFill/>
            </a:ln>
          </c:spPr>
          <c:invertIfNegative val="0"/>
        </c:ser>
        <c:ser>
          <c:idx val="9"/>
          <c:order val="9"/>
          <c:tx>
            <c:v>       25%</c:v>
          </c:tx>
          <c:spPr>
            <a:noFill/>
            <a:ln w="25400">
              <a:noFill/>
            </a:ln>
          </c:spPr>
          <c:invertIfNegative val="0"/>
        </c:ser>
        <c:ser>
          <c:idx val="10"/>
          <c:order val="10"/>
          <c:tx>
            <c:v>       Mean</c:v>
          </c:tx>
          <c:spPr>
            <a:noFill/>
            <a:ln w="25400">
              <a:noFill/>
            </a:ln>
          </c:spPr>
          <c:invertIfNegative val="0"/>
        </c:ser>
        <c:ser>
          <c:idx val="11"/>
          <c:order val="11"/>
          <c:tx>
            <c:v>       75%</c:v>
          </c:tx>
          <c:spPr>
            <a:noFill/>
            <a:ln w="25400">
              <a:noFill/>
            </a:ln>
          </c:spPr>
          <c:invertIfNegative val="0"/>
        </c:ser>
        <c:ser>
          <c:idx val="12"/>
          <c:order val="12"/>
          <c:tx>
            <c:v>       95%</c:v>
          </c:tx>
          <c:spPr>
            <a:noFill/>
            <a:ln w="25400">
              <a:noFill/>
            </a:ln>
          </c:spPr>
          <c:invertIfNegative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0971520"/>
        <c:axId val="130973056"/>
      </c:barChart>
      <c:barChart>
        <c:barDir val="col"/>
        <c:grouping val="stacked"/>
        <c:varyColors val="0"/>
        <c:ser>
          <c:idx val="0"/>
          <c:order val="0"/>
          <c:tx>
            <c:strRef>
              <c:f>Sheet2!$B$2501:$B$2502</c:f>
              <c:strCache>
                <c:ptCount val="1"/>
                <c:pt idx="0">
                  <c:v>B Mean</c:v>
                </c:pt>
              </c:strCache>
            </c:strRef>
          </c:tx>
          <c:spPr>
            <a:noFill/>
            <a:ln w="25400">
              <a:noFill/>
            </a:ln>
          </c:spPr>
          <c:invertIfNegative val="0"/>
          <c:cat>
            <c:strRef>
              <c:f>Sheet2!$A$2502:$A$2508</c:f>
              <c:strCache>
                <c:ptCount val="6"/>
                <c:pt idx="1">
                  <c:v>2019</c:v>
                </c:pt>
                <c:pt idx="2">
                  <c:v>Jan 2020</c:v>
                </c:pt>
                <c:pt idx="3">
                  <c:v>Feb 2020</c:v>
                </c:pt>
                <c:pt idx="4">
                  <c:v>Mar 2020</c:v>
                </c:pt>
                <c:pt idx="5">
                  <c:v>Apr 2020</c:v>
                </c:pt>
              </c:strCache>
            </c:strRef>
          </c:cat>
          <c:val>
            <c:numRef>
              <c:f>Sheet2!$B$2502:$B$2508</c:f>
              <c:numCache>
                <c:formatCode>General</c:formatCode>
                <c:ptCount val="7"/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Sheet2!$C$2501:$C$2502</c:f>
              <c:strCache>
                <c:ptCount val="1"/>
                <c:pt idx="0">
                  <c:v>B Mean Size</c:v>
                </c:pt>
              </c:strCache>
            </c:strRef>
          </c:tx>
          <c:spPr>
            <a:noFill/>
            <a:ln>
              <a:solidFill>
                <a:srgbClr val="000000"/>
              </a:solidFill>
              <a:prstDash val="lgDash"/>
            </a:ln>
          </c:spPr>
          <c:invertIfNegative val="0"/>
          <c:cat>
            <c:strRef>
              <c:f>Sheet2!$A$2502:$A$2508</c:f>
              <c:strCache>
                <c:ptCount val="6"/>
                <c:pt idx="1">
                  <c:v>2019</c:v>
                </c:pt>
                <c:pt idx="2">
                  <c:v>Jan 2020</c:v>
                </c:pt>
                <c:pt idx="3">
                  <c:v>Feb 2020</c:v>
                </c:pt>
                <c:pt idx="4">
                  <c:v>Mar 2020</c:v>
                </c:pt>
                <c:pt idx="5">
                  <c:v>Apr 2020</c:v>
                </c:pt>
              </c:strCache>
            </c:strRef>
          </c:cat>
          <c:val>
            <c:numRef>
              <c:f>Sheet2!$C$2502:$C$2508</c:f>
              <c:numCache>
                <c:formatCode>General</c:formatCode>
                <c:ptCount val="7"/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Sheet2!$D$2501:$D$2502</c:f>
              <c:strCache>
                <c:ptCount val="1"/>
                <c:pt idx="0">
                  <c:v>B Box</c:v>
                </c:pt>
              </c:strCache>
            </c:strRef>
          </c:tx>
          <c:spPr>
            <a:noFill/>
            <a:ln w="25400">
              <a:noFill/>
            </a:ln>
          </c:spPr>
          <c:invertIfNegative val="0"/>
          <c:errBars>
            <c:errBarType val="minus"/>
            <c:errValType val="cust"/>
            <c:noEndCap val="1"/>
            <c:minus>
              <c:numRef>
                <c:f>Sheet2!$J$2502:$J$2508</c:f>
                <c:numCache>
                  <c:formatCode>General</c:formatCode>
                  <c:ptCount val="7"/>
                  <c:pt idx="1">
                    <c:v>1.039469493027223E-2</c:v>
                  </c:pt>
                  <c:pt idx="2">
                    <c:v>1.3015629851241162E-2</c:v>
                  </c:pt>
                  <c:pt idx="3">
                    <c:v>1.2320581923098706E-3</c:v>
                  </c:pt>
                  <c:pt idx="4">
                    <c:v>9.3368625979306508E-5</c:v>
                  </c:pt>
                  <c:pt idx="5">
                    <c:v>8.3696551123058072E-7</c:v>
                  </c:pt>
                </c:numCache>
              </c:numRef>
            </c:minus>
            <c:spPr>
              <a:ln w="12700">
                <a:solidFill>
                  <a:srgbClr val="000000"/>
                </a:solidFill>
                <a:prstDash val="solid"/>
              </a:ln>
            </c:spPr>
          </c:errBars>
          <c:cat>
            <c:strRef>
              <c:f>Sheet2!$A$2502:$A$2508</c:f>
              <c:strCache>
                <c:ptCount val="6"/>
                <c:pt idx="1">
                  <c:v>2019</c:v>
                </c:pt>
                <c:pt idx="2">
                  <c:v>Jan 2020</c:v>
                </c:pt>
                <c:pt idx="3">
                  <c:v>Feb 2020</c:v>
                </c:pt>
                <c:pt idx="4">
                  <c:v>Mar 2020</c:v>
                </c:pt>
                <c:pt idx="5">
                  <c:v>Apr 2020</c:v>
                </c:pt>
              </c:strCache>
            </c:strRef>
          </c:cat>
          <c:val>
            <c:numRef>
              <c:f>Sheet2!$D$2502:$D$2508</c:f>
              <c:numCache>
                <c:formatCode>General</c:formatCode>
                <c:ptCount val="7"/>
                <c:pt idx="1">
                  <c:v>1.1628640539438129E-2</c:v>
                </c:pt>
                <c:pt idx="2">
                  <c:v>1.4562999174817404E-2</c:v>
                </c:pt>
                <c:pt idx="3">
                  <c:v>1.3775628287131525E-3</c:v>
                </c:pt>
                <c:pt idx="4">
                  <c:v>1.0438833011572335E-4</c:v>
                </c:pt>
                <c:pt idx="5">
                  <c:v>9.3574211568192567E-7</c:v>
                </c:pt>
              </c:numCache>
            </c:numRef>
          </c:val>
        </c:ser>
        <c:ser>
          <c:idx val="3"/>
          <c:order val="3"/>
          <c:tx>
            <c:strRef>
              <c:f>Sheet2!$E$2501:$E$2502</c:f>
              <c:strCache>
                <c:ptCount val="1"/>
                <c:pt idx="0">
                  <c:v>Center</c:v>
                </c:pt>
              </c:strCache>
            </c:strRef>
          </c:tx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</c:spPr>
          <c:invertIfNegative val="0"/>
          <c:cat>
            <c:strRef>
              <c:f>Sheet2!$A$2502:$A$2508</c:f>
              <c:strCache>
                <c:ptCount val="6"/>
                <c:pt idx="1">
                  <c:v>2019</c:v>
                </c:pt>
                <c:pt idx="2">
                  <c:v>Jan 2020</c:v>
                </c:pt>
                <c:pt idx="3">
                  <c:v>Feb 2020</c:v>
                </c:pt>
                <c:pt idx="4">
                  <c:v>Mar 2020</c:v>
                </c:pt>
                <c:pt idx="5">
                  <c:v>Apr 2020</c:v>
                </c:pt>
              </c:strCache>
            </c:strRef>
          </c:cat>
          <c:val>
            <c:numRef>
              <c:f>Sheet2!$E$2502:$E$2508</c:f>
              <c:numCache>
                <c:formatCode>General</c:formatCode>
                <c:ptCount val="7"/>
                <c:pt idx="1">
                  <c:v>0.18849650761655601</c:v>
                </c:pt>
                <c:pt idx="2">
                  <c:v>0.21076384557830843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4"/>
          <c:order val="4"/>
          <c:tx>
            <c:strRef>
              <c:f>Sheet2!$F$2501:$F$2502</c:f>
              <c:strCache>
                <c:ptCount val="1"/>
                <c:pt idx="0">
                  <c:v>T Box</c:v>
                </c:pt>
              </c:strCache>
            </c:strRef>
          </c:tx>
          <c:spPr>
            <a:gradFill flip="none" rotWithShape="1">
              <a:gsLst>
                <a:gs pos="0">
                  <a:srgbClr val="DC143C"/>
                </a:gs>
                <a:gs pos="100000">
                  <a:srgbClr val="DC143C">
                    <a:shade val="46275"/>
                  </a:srgbClr>
                </a:gs>
              </a:gsLst>
              <a:lin ang="2700000" scaled="1"/>
              <a:tileRect/>
            </a:gradFill>
          </c:spPr>
          <c:invertIfNegative val="0"/>
          <c:errBars>
            <c:errBarType val="plus"/>
            <c:errValType val="cust"/>
            <c:noEndCap val="1"/>
            <c:plus>
              <c:numRef>
                <c:f>Sheet2!$I$2502:$I$2508</c:f>
                <c:numCache>
                  <c:formatCode>General</c:formatCode>
                  <c:ptCount val="7"/>
                  <c:pt idx="1">
                    <c:v>0.62730216443085429</c:v>
                  </c:pt>
                  <c:pt idx="2">
                    <c:v>0.61262687829580875</c:v>
                  </c:pt>
                  <c:pt idx="3">
                    <c:v>0.20485679340880203</c:v>
                  </c:pt>
                  <c:pt idx="4">
                    <c:v>1.7911520381189816E-2</c:v>
                  </c:pt>
                  <c:pt idx="5">
                    <c:v>1.6246517018292383E-4</c:v>
                  </c:pt>
                </c:numCache>
              </c:numRef>
            </c:plus>
            <c:spPr>
              <a:ln w="12700">
                <a:solidFill>
                  <a:srgbClr val="000000"/>
                </a:solidFill>
                <a:prstDash val="solid"/>
              </a:ln>
            </c:spPr>
          </c:errBars>
          <c:cat>
            <c:strRef>
              <c:f>Sheet2!$A$2502:$A$2508</c:f>
              <c:strCache>
                <c:ptCount val="6"/>
                <c:pt idx="1">
                  <c:v>2019</c:v>
                </c:pt>
                <c:pt idx="2">
                  <c:v>Jan 2020</c:v>
                </c:pt>
                <c:pt idx="3">
                  <c:v>Feb 2020</c:v>
                </c:pt>
                <c:pt idx="4">
                  <c:v>Mar 2020</c:v>
                </c:pt>
                <c:pt idx="5">
                  <c:v>Apr 2020</c:v>
                </c:pt>
              </c:strCache>
            </c:strRef>
          </c:cat>
          <c:val>
            <c:numRef>
              <c:f>Sheet2!$F$2502:$F$2508</c:f>
              <c:numCache>
                <c:formatCode>General</c:formatCode>
                <c:ptCount val="7"/>
                <c:pt idx="1">
                  <c:v>7.784198828313893E-2</c:v>
                </c:pt>
                <c:pt idx="2">
                  <c:v>0.11000873952443199</c:v>
                </c:pt>
                <c:pt idx="3">
                  <c:v>3.6278371507194707E-2</c:v>
                </c:pt>
                <c:pt idx="4">
                  <c:v>2.7981264719507681E-3</c:v>
                </c:pt>
                <c:pt idx="5">
                  <c:v>2.5118688358194419E-5</c:v>
                </c:pt>
              </c:numCache>
            </c:numRef>
          </c:val>
        </c:ser>
        <c:ser>
          <c:idx val="5"/>
          <c:order val="5"/>
          <c:tx>
            <c:strRef>
              <c:f>Sheet2!$G$2501:$G$2502</c:f>
              <c:strCache>
                <c:ptCount val="1"/>
                <c:pt idx="0">
                  <c:v>T Mean</c:v>
                </c:pt>
              </c:strCache>
            </c:strRef>
          </c:tx>
          <c:spPr>
            <a:noFill/>
            <a:ln w="25400">
              <a:noFill/>
            </a:ln>
          </c:spPr>
          <c:invertIfNegative val="0"/>
          <c:cat>
            <c:strRef>
              <c:f>Sheet2!$A$2502:$A$2508</c:f>
              <c:strCache>
                <c:ptCount val="6"/>
                <c:pt idx="1">
                  <c:v>2019</c:v>
                </c:pt>
                <c:pt idx="2">
                  <c:v>Jan 2020</c:v>
                </c:pt>
                <c:pt idx="3">
                  <c:v>Feb 2020</c:v>
                </c:pt>
                <c:pt idx="4">
                  <c:v>Mar 2020</c:v>
                </c:pt>
                <c:pt idx="5">
                  <c:v>Apr 2020</c:v>
                </c:pt>
              </c:strCache>
            </c:strRef>
          </c:cat>
          <c:val>
            <c:numRef>
              <c:f>Sheet2!$G$2502:$G$2508</c:f>
              <c:numCache>
                <c:formatCode>General</c:formatCode>
                <c:ptCount val="7"/>
                <c:pt idx="3">
                  <c:v>9.2471622520841623E-3</c:v>
                </c:pt>
                <c:pt idx="4">
                  <c:v>1.5267865277712915E-3</c:v>
                </c:pt>
                <c:pt idx="5">
                  <c:v>1.4630925092863377E-5</c:v>
                </c:pt>
              </c:numCache>
            </c:numRef>
          </c:val>
        </c:ser>
        <c:ser>
          <c:idx val="6"/>
          <c:order val="6"/>
          <c:tx>
            <c:strRef>
              <c:f>Sheet2!$H$2501:$H$2502</c:f>
              <c:strCache>
                <c:ptCount val="1"/>
                <c:pt idx="0">
                  <c:v>T Mean Size</c:v>
                </c:pt>
              </c:strCache>
            </c:strRef>
          </c:tx>
          <c:spPr>
            <a:noFill/>
            <a:ln>
              <a:solidFill>
                <a:srgbClr val="000000"/>
              </a:solidFill>
              <a:prstDash val="lgDash"/>
            </a:ln>
          </c:spPr>
          <c:invertIfNegative val="0"/>
          <c:cat>
            <c:strRef>
              <c:f>Sheet2!$A$2502:$A$2508</c:f>
              <c:strCache>
                <c:ptCount val="6"/>
                <c:pt idx="1">
                  <c:v>2019</c:v>
                </c:pt>
                <c:pt idx="2">
                  <c:v>Jan 2020</c:v>
                </c:pt>
                <c:pt idx="3">
                  <c:v>Feb 2020</c:v>
                </c:pt>
                <c:pt idx="4">
                  <c:v>Mar 2020</c:v>
                </c:pt>
                <c:pt idx="5">
                  <c:v>Apr 2020</c:v>
                </c:pt>
              </c:strCache>
            </c:strRef>
          </c:cat>
          <c:val>
            <c:numRef>
              <c:f>Sheet2!$H$2502:$H$2508</c:f>
              <c:numCache>
                <c:formatCode>General</c:formatCode>
                <c:ptCount val="7"/>
                <c:pt idx="1">
                  <c:v>0</c:v>
                </c:pt>
                <c:pt idx="2">
                  <c:v>0</c:v>
                </c:pt>
                <c:pt idx="3">
                  <c:v>2E-3</c:v>
                </c:pt>
                <c:pt idx="4">
                  <c:v>2E-3</c:v>
                </c:pt>
                <c:pt idx="5">
                  <c:v>2E-3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130993152"/>
        <c:axId val="130991616"/>
      </c:barChart>
      <c:catAx>
        <c:axId val="130971520"/>
        <c:scaling>
          <c:orientation val="minMax"/>
        </c:scaling>
        <c:delete val="0"/>
        <c:axPos val="b"/>
        <c:majorGridlines>
          <c:spPr>
            <a:ln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 lang="ja-JP"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ja-JP"/>
          </a:p>
        </c:txPr>
        <c:crossAx val="130973056"/>
        <c:crossesAt val="0"/>
        <c:auto val="1"/>
        <c:lblAlgn val="ctr"/>
        <c:lblOffset val="100"/>
        <c:noMultiLvlLbl val="0"/>
      </c:catAx>
      <c:valAx>
        <c:axId val="130973056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lang="ja-JP">
                    <a:latin typeface="+mj-lt"/>
                  </a:defRPr>
                </a:pPr>
                <a:r>
                  <a:rPr lang="en-US" altLang="en-US">
                    <a:latin typeface="+mj-lt"/>
                  </a:rPr>
                  <a:t>Annual probability of ASF introduction</a:t>
                </a:r>
              </a:p>
            </c:rich>
          </c:tx>
          <c:layout>
            <c:manualLayout>
              <c:xMode val="edge"/>
              <c:yMode val="edge"/>
              <c:x val="2.9165923655717459E-2"/>
              <c:y val="9.5811625620811219E-2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lang="ja-JP" sz="825" b="0" i="0" u="none" strike="noStrike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ja-JP"/>
          </a:p>
        </c:txPr>
        <c:crossAx val="130971520"/>
        <c:crossesAt val="1"/>
        <c:crossBetween val="midCat"/>
        <c:majorUnit val="0.2"/>
      </c:valAx>
      <c:valAx>
        <c:axId val="130991616"/>
        <c:scaling>
          <c:orientation val="minMax"/>
          <c:max val="1"/>
          <c:min val="0"/>
        </c:scaling>
        <c:delete val="0"/>
        <c:axPos val="r"/>
        <c:numFmt formatCode="General" sourceLinked="1"/>
        <c:majorTickMark val="none"/>
        <c:minorTickMark val="none"/>
        <c:tickLblPos val="none"/>
        <c:spPr>
          <a:ln w="25400">
            <a:noFill/>
          </a:ln>
        </c:spPr>
        <c:txPr>
          <a:bodyPr/>
          <a:lstStyle/>
          <a:p>
            <a:pPr>
              <a:defRPr lang="ja-JP"/>
            </a:pPr>
            <a:endParaRPr lang="ja-JP"/>
          </a:p>
        </c:txPr>
        <c:crossAx val="130993152"/>
        <c:crosses val="max"/>
        <c:crossBetween val="between"/>
      </c:valAx>
      <c:catAx>
        <c:axId val="130993152"/>
        <c:scaling>
          <c:orientation val="minMax"/>
        </c:scaling>
        <c:delete val="1"/>
        <c:axPos val="b"/>
        <c:majorTickMark val="out"/>
        <c:minorTickMark val="none"/>
        <c:tickLblPos val="nextTo"/>
        <c:crossAx val="130991616"/>
        <c:crosses val="autoZero"/>
        <c:auto val="1"/>
        <c:lblAlgn val="ctr"/>
        <c:lblOffset val="100"/>
        <c:noMultiLvlLbl val="0"/>
      </c:catAx>
      <c:spPr>
        <a:solidFill>
          <a:srgbClr val="F5F5F5"/>
        </a:solidFill>
        <a:ln>
          <a:noFill/>
          <a:round/>
        </a:ln>
        <a:effectLst/>
        <a:extLst>
          <a:ext uri="{91240B29-F687-4F45-9708-019B960494DF}">
            <a14:hiddenLine xmlns:a14="http://schemas.microsoft.com/office/drawing/2010/main">
              <a:noFill/>
              <a:round/>
            </a14:hiddenLine>
          </a:ext>
        </a:extLst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E2177-80A2-46A4-A594-B59478D7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Katsuaki</dc:creator>
  <cp:lastModifiedBy>Katsuaki</cp:lastModifiedBy>
  <cp:revision>2</cp:revision>
  <cp:lastPrinted>2018-09-10T02:20:00Z</cp:lastPrinted>
  <dcterms:created xsi:type="dcterms:W3CDTF">2020-06-24T12:15:00Z</dcterms:created>
  <dcterms:modified xsi:type="dcterms:W3CDTF">2020-06-24T12:15:00Z</dcterms:modified>
</cp:coreProperties>
</file>