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media/rId24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Confronto</w:t>
      </w:r>
      <w:r>
        <w:t xml:space="preserve"> </w:t>
      </w:r>
      <w:r>
        <w:t xml:space="preserve">fra</w:t>
      </w:r>
      <w:r>
        <w:t xml:space="preserve"> </w:t>
      </w:r>
      <w:r>
        <w:t xml:space="preserve">diversi</w:t>
      </w:r>
      <w:r>
        <w:t xml:space="preserve"> </w:t>
      </w:r>
      <w:r>
        <w:t xml:space="preserve">modelli</w:t>
      </w:r>
      <w:r>
        <w:t xml:space="preserve"> </w:t>
      </w:r>
      <w:r>
        <w:t xml:space="preserve">di</w:t>
      </w:r>
      <w:r>
        <w:t xml:space="preserve"> </w:t>
      </w:r>
      <w:r>
        <w:t xml:space="preserve">calcolo</w:t>
      </w:r>
      <w:r>
        <w:t xml:space="preserve"> </w:t>
      </w:r>
      <w:r>
        <w:t xml:space="preserve">per</w:t>
      </w:r>
      <w:r>
        <w:t xml:space="preserve"> </w:t>
      </w:r>
      <w:r>
        <w:t xml:space="preserve">la</w:t>
      </w:r>
      <w:r>
        <w:t xml:space="preserve"> </w:t>
      </w:r>
      <w:r>
        <w:t xml:space="preserve">valutazione</w:t>
      </w:r>
      <w:r>
        <w:t xml:space="preserve"> </w:t>
      </w:r>
      <w:r>
        <w:t xml:space="preserve">del</w:t>
      </w:r>
      <w:r>
        <w:t xml:space="preserve"> </w:t>
      </w:r>
      <w:r>
        <w:t xml:space="preserve">rischio</w:t>
      </w:r>
      <w:r>
        <w:t xml:space="preserve"> </w:t>
      </w:r>
      <w:r>
        <w:t xml:space="preserve">sanitario-ambientale </w:t>
      </w:r>
      <w:r>
        <w:t xml:space="preserve"> </w:t>
      </w:r>
      <w:r>
        <w:t xml:space="preserve">di</w:t>
      </w:r>
      <w:r>
        <w:t xml:space="preserve"> </w:t>
      </w:r>
      <w:r>
        <w:t xml:space="preserve">un</w:t>
      </w:r>
      <w:r>
        <w:t xml:space="preserve"> </w:t>
      </w:r>
      <w:r>
        <w:t xml:space="preserve">sito</w:t>
      </w:r>
      <w:r>
        <w:t xml:space="preserve"> </w:t>
      </w:r>
      <w:r>
        <w:t xml:space="preserve">contaminato</w:t>
      </w:r>
      <w:r>
        <w:t xml:space="preserve"> </w:t>
      </w:r>
      <w:r>
        <w:t xml:space="preserve">da</w:t>
      </w:r>
      <w:r>
        <w:t xml:space="preserve"> </w:t>
      </w:r>
      <w:r>
        <w:t xml:space="preserve">idrocarburi             </w:t>
      </w:r>
    </w:p>
    <w:p>
      <w:pPr>
        <w:pStyle w:val="Author"/>
      </w:pPr>
      <w:r>
        <w:t xml:space="preserve">Noemi</w:t>
      </w:r>
      <w:r>
        <w:t xml:space="preserve"> </w:t>
      </w:r>
      <w:r>
        <w:t xml:space="preserve">Cennamo</w:t>
      </w:r>
    </w:p>
    <w:p>
      <w:pPr>
        <w:pStyle w:val="Abstract"/>
      </w:pPr>
      <w:r>
        <w:t xml:space="preserve">Il</w:t>
      </w:r>
      <w:r>
        <w:t xml:space="preserve"> </w:t>
      </w:r>
      <w:r>
        <w:t xml:space="preserve">rischio</w:t>
      </w:r>
      <w:r>
        <w:t xml:space="preserve"> </w:t>
      </w:r>
      <w:r>
        <w:t xml:space="preserve">è</w:t>
      </w:r>
      <w:r>
        <w:t xml:space="preserve"> </w:t>
      </w:r>
      <w:r>
        <w:t xml:space="preserve">definito</w:t>
      </w:r>
      <w:r>
        <w:t xml:space="preserve"> </w:t>
      </w:r>
      <w:r>
        <w:t xml:space="preserve">come</w:t>
      </w:r>
      <w:r>
        <w:t xml:space="preserve"> </w:t>
      </w:r>
      <w:r>
        <w:t xml:space="preserve">la</w:t>
      </w:r>
      <w:r>
        <w:t xml:space="preserve"> </w:t>
      </w:r>
      <w:r>
        <w:t xml:space="preserve">probabilità</w:t>
      </w:r>
      <w:r>
        <w:t xml:space="preserve"> </w:t>
      </w:r>
      <w:r>
        <w:t xml:space="preserve">di</w:t>
      </w:r>
      <w:r>
        <w:t xml:space="preserve"> </w:t>
      </w:r>
      <w:r>
        <w:t xml:space="preserve">insorgenza</w:t>
      </w:r>
      <w:r>
        <w:t xml:space="preserve"> </w:t>
      </w:r>
      <w:r>
        <w:t xml:space="preserve">di</w:t>
      </w:r>
      <w:r>
        <w:t xml:space="preserve"> </w:t>
      </w:r>
      <w:r>
        <w:t xml:space="preserve">effetti</w:t>
      </w:r>
      <w:r>
        <w:t xml:space="preserve"> </w:t>
      </w:r>
      <w:r>
        <w:t xml:space="preserve">indesiderati</w:t>
      </w:r>
      <w:r>
        <w:t xml:space="preserve"> </w:t>
      </w:r>
      <w:r>
        <w:t xml:space="preserve">per</w:t>
      </w:r>
      <w:r>
        <w:t xml:space="preserve"> </w:t>
      </w:r>
      <w:r>
        <w:t xml:space="preserve">persone/cose,</w:t>
      </w:r>
      <w:r>
        <w:t xml:space="preserve"> </w:t>
      </w:r>
      <w:r>
        <w:t xml:space="preserve">causati</w:t>
      </w:r>
      <w:r>
        <w:t xml:space="preserve"> </w:t>
      </w:r>
      <w:r>
        <w:t xml:space="preserve">da</w:t>
      </w:r>
      <w:r>
        <w:t xml:space="preserve"> </w:t>
      </w:r>
      <w:r>
        <w:t xml:space="preserve">particolari</w:t>
      </w:r>
      <w:r>
        <w:t xml:space="preserve"> </w:t>
      </w:r>
      <w:r>
        <w:t xml:space="preserve">eventi,</w:t>
      </w:r>
      <w:r>
        <w:t xml:space="preserve"> </w:t>
      </w:r>
      <w:r>
        <w:t xml:space="preserve">e</w:t>
      </w:r>
      <w:r>
        <w:t xml:space="preserve"> </w:t>
      </w:r>
      <w:r>
        <w:t xml:space="preserve">può</w:t>
      </w:r>
      <w:r>
        <w:t xml:space="preserve"> </w:t>
      </w:r>
      <w:r>
        <w:t xml:space="preserve">essere</w:t>
      </w:r>
      <w:r>
        <w:t xml:space="preserve"> </w:t>
      </w:r>
      <w:r>
        <w:t xml:space="preserve">valutato</w:t>
      </w:r>
      <w:r>
        <w:t xml:space="preserve"> </w:t>
      </w:r>
      <w:r>
        <w:t xml:space="preserve">come</w:t>
      </w:r>
      <w:r>
        <w:t xml:space="preserve"> </w:t>
      </w:r>
      <w:r>
        <w:t xml:space="preserve">il</w:t>
      </w:r>
      <w:r>
        <w:t xml:space="preserve"> </w:t>
      </w:r>
      <w:r>
        <w:t xml:space="preserve">prodotto</w:t>
      </w:r>
      <w:r>
        <w:t xml:space="preserve"> </w:t>
      </w:r>
      <w:r>
        <w:t xml:space="preserve">tra</w:t>
      </w:r>
      <w:r>
        <w:t xml:space="preserve"> </w:t>
      </w:r>
      <w:r>
        <w:t xml:space="preserve">la</w:t>
      </w:r>
      <w:r>
        <w:t xml:space="preserve"> </w:t>
      </w:r>
      <w:r>
        <w:t xml:space="preserve">pericolosità</w:t>
      </w:r>
      <w:r>
        <w:t xml:space="preserve"> </w:t>
      </w:r>
      <w:r>
        <w:t xml:space="preserve">(probabilità</w:t>
      </w:r>
      <w:r>
        <w:t xml:space="preserve"> </w:t>
      </w:r>
      <w:r>
        <w:t xml:space="preserve">di</w:t>
      </w:r>
      <w:r>
        <w:t xml:space="preserve"> </w:t>
      </w:r>
      <w:r>
        <w:t xml:space="preserve">accadimento</w:t>
      </w:r>
      <w:r>
        <w:t xml:space="preserve"> </w:t>
      </w:r>
      <w:r>
        <w:t xml:space="preserve">dell’evento)</w:t>
      </w:r>
      <w:r>
        <w:t xml:space="preserve"> </w:t>
      </w:r>
      <w:r>
        <w:t xml:space="preserve">e</w:t>
      </w:r>
      <w:r>
        <w:t xml:space="preserve"> </w:t>
      </w:r>
      <w:r>
        <w:t xml:space="preserve">il</w:t>
      </w:r>
      <w:r>
        <w:t xml:space="preserve"> </w:t>
      </w:r>
      <w:r>
        <w:t xml:space="preserve">danno</w:t>
      </w:r>
      <w:r>
        <w:t xml:space="preserve"> </w:t>
      </w:r>
      <w:r>
        <w:t xml:space="preserve">atteso.</w:t>
      </w:r>
      <w:r>
        <w:t xml:space="preserve"> </w:t>
      </w:r>
      <w:r>
        <w:t xml:space="preserve">Tra</w:t>
      </w:r>
      <w:r>
        <w:t xml:space="preserve"> </w:t>
      </w:r>
      <w:r>
        <w:t xml:space="preserve">le</w:t>
      </w:r>
      <w:r>
        <w:t xml:space="preserve"> </w:t>
      </w:r>
      <w:r>
        <w:t xml:space="preserve">differenti</w:t>
      </w:r>
      <w:r>
        <w:t xml:space="preserve"> </w:t>
      </w:r>
      <w:r>
        <w:t xml:space="preserve">tipologie</w:t>
      </w:r>
      <w:r>
        <w:t xml:space="preserve"> </w:t>
      </w:r>
      <w:r>
        <w:t xml:space="preserve">di</w:t>
      </w:r>
      <w:r>
        <w:t xml:space="preserve"> </w:t>
      </w:r>
      <w:r>
        <w:t xml:space="preserve">rischio,</w:t>
      </w:r>
      <w:r>
        <w:t xml:space="preserve"> </w:t>
      </w:r>
      <w:r>
        <w:t xml:space="preserve">nel</w:t>
      </w:r>
      <w:r>
        <w:t xml:space="preserve"> </w:t>
      </w:r>
      <w:r>
        <w:t xml:space="preserve">presente</w:t>
      </w:r>
      <w:r>
        <w:t xml:space="preserve"> </w:t>
      </w:r>
      <w:r>
        <w:t xml:space="preserve">lavoro</w:t>
      </w:r>
      <w:r>
        <w:t xml:space="preserve"> </w:t>
      </w:r>
      <w:r>
        <w:t xml:space="preserve">si</w:t>
      </w:r>
      <w:r>
        <w:t xml:space="preserve"> </w:t>
      </w:r>
      <w:r>
        <w:t xml:space="preserve">fa</w:t>
      </w:r>
      <w:r>
        <w:t xml:space="preserve"> </w:t>
      </w:r>
      <w:r>
        <w:t xml:space="preserve">riferimento</w:t>
      </w:r>
      <w:r>
        <w:t xml:space="preserve"> </w:t>
      </w:r>
      <w:r>
        <w:t xml:space="preserve">a</w:t>
      </w:r>
      <w:r>
        <w:t xml:space="preserve"> </w:t>
      </w:r>
      <w:r>
        <w:t xml:space="preserve">quello</w:t>
      </w:r>
      <w:r>
        <w:t xml:space="preserve"> </w:t>
      </w:r>
      <w:r>
        <w:t xml:space="preserve">ambientale.</w:t>
      </w:r>
      <w:r>
        <w:t xml:space="preserve"> </w:t>
      </w:r>
      <w:r>
        <w:t xml:space="preserve">Il</w:t>
      </w:r>
      <w:r>
        <w:t xml:space="preserve"> </w:t>
      </w:r>
      <w:r>
        <w:t xml:space="preserve">D.Lgs.</w:t>
      </w:r>
      <w:r>
        <w:t xml:space="preserve"> </w:t>
      </w:r>
      <w:r>
        <w:t xml:space="preserve">152/06,</w:t>
      </w:r>
      <w:r>
        <w:t xml:space="preserve"> </w:t>
      </w:r>
      <w:r>
        <w:t xml:space="preserve">guarda</w:t>
      </w:r>
      <w:r>
        <w:t xml:space="preserve"> </w:t>
      </w:r>
      <w:r>
        <w:t xml:space="preserve">al</w:t>
      </w:r>
      <w:r>
        <w:t xml:space="preserve"> </w:t>
      </w:r>
      <w:r>
        <w:t xml:space="preserve">rischio</w:t>
      </w:r>
      <w:r>
        <w:t xml:space="preserve"> </w:t>
      </w:r>
      <w:r>
        <w:t xml:space="preserve">sanitario-ambientale,</w:t>
      </w:r>
      <w:r>
        <w:t xml:space="preserve"> </w:t>
      </w:r>
      <w:r>
        <w:t xml:space="preserve">derivante</w:t>
      </w:r>
      <w:r>
        <w:t xml:space="preserve"> </w:t>
      </w:r>
      <w:r>
        <w:t xml:space="preserve">dall’impatto</w:t>
      </w:r>
      <w:r>
        <w:t xml:space="preserve"> </w:t>
      </w:r>
      <w:r>
        <w:t xml:space="preserve">dei</w:t>
      </w:r>
      <w:r>
        <w:t xml:space="preserve"> </w:t>
      </w:r>
      <w:r>
        <w:t xml:space="preserve">contaminanti</w:t>
      </w:r>
      <w:r>
        <w:t xml:space="preserve"> </w:t>
      </w:r>
      <w:r>
        <w:t xml:space="preserve">presenti</w:t>
      </w:r>
      <w:r>
        <w:t xml:space="preserve"> </w:t>
      </w:r>
      <w:r>
        <w:t xml:space="preserve">nelle</w:t>
      </w:r>
      <w:r>
        <w:t xml:space="preserve"> </w:t>
      </w:r>
      <w:r>
        <w:t xml:space="preserve">matrici</w:t>
      </w:r>
      <w:r>
        <w:t xml:space="preserve"> </w:t>
      </w:r>
      <w:r>
        <w:t xml:space="preserve">ambientali</w:t>
      </w:r>
      <w:r>
        <w:t xml:space="preserve"> </w:t>
      </w:r>
      <w:r>
        <w:t xml:space="preserve">sulla</w:t>
      </w:r>
      <w:r>
        <w:t xml:space="preserve"> </w:t>
      </w:r>
      <w:r>
        <w:t xml:space="preserve">salute</w:t>
      </w:r>
      <w:r>
        <w:t xml:space="preserve"> </w:t>
      </w:r>
      <w:r>
        <w:t xml:space="preserve">umana.</w:t>
      </w:r>
      <w:r>
        <w:t xml:space="preserve"> </w:t>
      </w:r>
      <w:r>
        <w:t xml:space="preserve">I</w:t>
      </w:r>
      <w:r>
        <w:t xml:space="preserve"> </w:t>
      </w:r>
      <w:r>
        <w:t xml:space="preserve">siti</w:t>
      </w:r>
      <w:r>
        <w:t xml:space="preserve"> </w:t>
      </w:r>
      <w:r>
        <w:t xml:space="preserve">contaminati</w:t>
      </w:r>
      <w:r>
        <w:t xml:space="preserve"> </w:t>
      </w:r>
      <w:r>
        <w:t xml:space="preserve">costituiscono</w:t>
      </w:r>
      <w:r>
        <w:t xml:space="preserve"> </w:t>
      </w:r>
      <w:r>
        <w:t xml:space="preserve">una</w:t>
      </w:r>
      <w:r>
        <w:t xml:space="preserve"> </w:t>
      </w:r>
      <w:r>
        <w:t xml:space="preserve">problematica</w:t>
      </w:r>
      <w:r>
        <w:t xml:space="preserve"> </w:t>
      </w:r>
      <w:r>
        <w:t xml:space="preserve">attuale</w:t>
      </w:r>
      <w:r>
        <w:t xml:space="preserve"> </w:t>
      </w:r>
      <w:r>
        <w:t xml:space="preserve">e</w:t>
      </w:r>
      <w:r>
        <w:t xml:space="preserve"> </w:t>
      </w:r>
      <w:r>
        <w:t xml:space="preserve">dunque</w:t>
      </w:r>
      <w:r>
        <w:t xml:space="preserve"> </w:t>
      </w:r>
      <w:r>
        <w:t xml:space="preserve">si</w:t>
      </w:r>
      <w:r>
        <w:t xml:space="preserve"> </w:t>
      </w:r>
      <w:r>
        <w:t xml:space="preserve">necessita</w:t>
      </w:r>
      <w:r>
        <w:t xml:space="preserve"> </w:t>
      </w:r>
      <w:r>
        <w:t xml:space="preserve">di</w:t>
      </w:r>
      <w:r>
        <w:t xml:space="preserve"> </w:t>
      </w:r>
      <w:r>
        <w:t xml:space="preserve">un’adeguata</w:t>
      </w:r>
      <w:r>
        <w:t xml:space="preserve"> </w:t>
      </w:r>
      <w:r>
        <w:t xml:space="preserve">valutazione,</w:t>
      </w:r>
      <w:r>
        <w:t xml:space="preserve"> </w:t>
      </w:r>
      <w:r>
        <w:t xml:space="preserve">al</w:t>
      </w:r>
      <w:r>
        <w:t xml:space="preserve"> </w:t>
      </w:r>
      <w:r>
        <w:t xml:space="preserve">fine</w:t>
      </w:r>
      <w:r>
        <w:t xml:space="preserve"> </w:t>
      </w:r>
      <w:r>
        <w:t xml:space="preserve">di</w:t>
      </w:r>
      <w:r>
        <w:t xml:space="preserve"> </w:t>
      </w:r>
      <w:r>
        <w:t xml:space="preserve">individuare</w:t>
      </w:r>
      <w:r>
        <w:t xml:space="preserve"> </w:t>
      </w:r>
      <w:r>
        <w:t xml:space="preserve">e</w:t>
      </w:r>
      <w:r>
        <w:t xml:space="preserve"> </w:t>
      </w:r>
      <w:r>
        <w:t xml:space="preserve">quantificare</w:t>
      </w:r>
      <w:r>
        <w:t xml:space="preserve"> </w:t>
      </w:r>
      <w:r>
        <w:t xml:space="preserve">i</w:t>
      </w:r>
      <w:r>
        <w:t xml:space="preserve"> </w:t>
      </w:r>
      <w:r>
        <w:t xml:space="preserve">rischi</w:t>
      </w:r>
      <w:r>
        <w:t xml:space="preserve"> </w:t>
      </w:r>
      <w:r>
        <w:t xml:space="preserve">associati</w:t>
      </w:r>
      <w:r>
        <w:t xml:space="preserve"> </w:t>
      </w:r>
      <w:r>
        <w:t xml:space="preserve">ad</w:t>
      </w:r>
      <w:r>
        <w:t xml:space="preserve"> </w:t>
      </w:r>
      <w:r>
        <w:t xml:space="preserve">un</w:t>
      </w:r>
      <w:r>
        <w:t xml:space="preserve"> </w:t>
      </w:r>
      <w:r>
        <w:t xml:space="preserve">evento</w:t>
      </w:r>
      <w:r>
        <w:t xml:space="preserve"> </w:t>
      </w:r>
      <w:r>
        <w:t xml:space="preserve">di</w:t>
      </w:r>
      <w:r>
        <w:t xml:space="preserve"> </w:t>
      </w:r>
      <w:r>
        <w:t xml:space="preserve">contaminazione.</w:t>
      </w:r>
      <w:r>
        <w:t xml:space="preserve"> </w:t>
      </w:r>
      <w:r>
        <w:t xml:space="preserve">L’obiettivo</w:t>
      </w:r>
      <w:r>
        <w:t xml:space="preserve"> </w:t>
      </w:r>
      <w:r>
        <w:t xml:space="preserve">è</w:t>
      </w:r>
      <w:r>
        <w:t xml:space="preserve"> </w:t>
      </w:r>
      <w:r>
        <w:t xml:space="preserve">effettuare</w:t>
      </w:r>
      <w:r>
        <w:t xml:space="preserve"> </w:t>
      </w:r>
      <w:r>
        <w:t xml:space="preserve">un</w:t>
      </w:r>
      <w:r>
        <w:t xml:space="preserve"> </w:t>
      </w:r>
      <w:r>
        <w:t xml:space="preserve">confronto</w:t>
      </w:r>
      <w:r>
        <w:t xml:space="preserve"> </w:t>
      </w:r>
      <w:r>
        <w:t xml:space="preserve">tra</w:t>
      </w:r>
      <w:r>
        <w:t xml:space="preserve"> </w:t>
      </w:r>
      <w:r>
        <w:t xml:space="preserve">software</w:t>
      </w:r>
      <w:r>
        <w:t xml:space="preserve"> </w:t>
      </w:r>
      <w:r>
        <w:t xml:space="preserve">facendo</w:t>
      </w:r>
      <w:r>
        <w:t xml:space="preserve"> </w:t>
      </w:r>
      <w:r>
        <w:t xml:space="preserve">riferimento</w:t>
      </w:r>
      <w:r>
        <w:t xml:space="preserve"> </w:t>
      </w:r>
      <w:r>
        <w:t xml:space="preserve">ad</w:t>
      </w:r>
      <w:r>
        <w:t xml:space="preserve"> </w:t>
      </w:r>
      <w:r>
        <w:t xml:space="preserve">un</w:t>
      </w:r>
      <w:r>
        <w:t xml:space="preserve"> </w:t>
      </w:r>
      <w:r>
        <w:t xml:space="preserve">caso</w:t>
      </w:r>
      <w:r>
        <w:t xml:space="preserve"> </w:t>
      </w:r>
      <w:r>
        <w:t xml:space="preserve">studio</w:t>
      </w:r>
      <w:r>
        <w:t xml:space="preserve"> </w:t>
      </w:r>
      <w:r>
        <w:t xml:space="preserve">di</w:t>
      </w:r>
      <w:r>
        <w:t xml:space="preserve"> </w:t>
      </w:r>
      <w:r>
        <w:t xml:space="preserve">un</w:t>
      </w:r>
      <w:r>
        <w:t xml:space="preserve"> </w:t>
      </w:r>
      <w:r>
        <w:t xml:space="preserve">sito</w:t>
      </w:r>
      <w:r>
        <w:t xml:space="preserve"> </w:t>
      </w:r>
      <w:r>
        <w:t xml:space="preserve">contaminato</w:t>
      </w:r>
      <w:r>
        <w:t xml:space="preserve"> </w:t>
      </w:r>
      <w:r>
        <w:t xml:space="preserve">da</w:t>
      </w:r>
      <w:r>
        <w:t xml:space="preserve"> </w:t>
      </w:r>
      <w:r>
        <w:t xml:space="preserve">idrocarburi</w:t>
      </w:r>
      <w:r>
        <w:t xml:space="preserve"> </w:t>
      </w:r>
      <w:r>
        <w:t xml:space="preserve">in</w:t>
      </w:r>
      <w:r>
        <w:t xml:space="preserve"> </w:t>
      </w:r>
      <w:r>
        <w:t xml:space="preserve">Spagna. </w:t>
      </w:r>
    </w:p>
    <w:p>
      <w:pPr>
        <w:pStyle w:val="Heading1"/>
      </w:pPr>
      <w:bookmarkStart w:id="21" w:name="la-valutazione-del-rischio-sanitario-ambientale-nella-legislazione-italiana-e-spagnola"/>
      <w:bookmarkEnd w:id="21"/>
      <w:r>
        <w:t xml:space="preserve">La valutazione del rischio sanitario-ambientale nella</w:t>
      </w:r>
      <w:r>
        <w:t xml:space="preserve"> </w:t>
      </w:r>
      <w:r>
        <w:t xml:space="preserve">legislazione italiana e</w:t>
      </w:r>
      <w:r>
        <w:t xml:space="preserve"> </w:t>
      </w:r>
      <w:r>
        <w:t xml:space="preserve">spagnola</w:t>
      </w:r>
    </w:p>
    <w:p>
      <w:pPr>
        <w:pStyle w:val="FirstParagraph"/>
      </w:pPr>
      <w:r>
        <w:t xml:space="preserve">La bonifica dei siti contaminati rappresenta una priorità, non solo a</w:t>
      </w:r>
      <w:r>
        <w:t xml:space="preserve"> </w:t>
      </w:r>
      <w:r>
        <w:t xml:space="preserve">livello nazionale, e di conseguenza altrettanto importante risulta</w:t>
      </w:r>
      <w:r>
        <w:t xml:space="preserve"> </w:t>
      </w:r>
      <w:r>
        <w:t xml:space="preserve">l’esecuzione di un’adeguata analisi di rischio. In Italia, la normativa</w:t>
      </w:r>
      <w:r>
        <w:t xml:space="preserve"> </w:t>
      </w:r>
      <w:r>
        <w:t xml:space="preserve">di riferimento è il D.Lgs. 152/06:  non indica una specifica procedura</w:t>
      </w:r>
      <w:r>
        <w:t xml:space="preserve"> </w:t>
      </w:r>
      <w:r>
        <w:t xml:space="preserve">di analisi di rischio da utilizzare, ma nell’Allegato 1 al Titolo V,</w:t>
      </w:r>
      <w:r>
        <w:t xml:space="preserve"> </w:t>
      </w:r>
      <w:r>
        <w:t xml:space="preserve">Parte IV,  sono riportati i</w:t>
      </w:r>
      <w:r>
        <w:t xml:space="preserve"> </w:t>
      </w:r>
      <w:r>
        <w:t xml:space="preserve">“</w:t>
      </w:r>
      <w:r>
        <w:t xml:space="preserve">Criteri generali per l’analisi di rischio</w:t>
      </w:r>
      <w:r>
        <w:t xml:space="preserve"> </w:t>
      </w:r>
      <w:r>
        <w:t xml:space="preserve">sanitario ambientale</w:t>
      </w:r>
      <w:r>
        <w:t xml:space="preserve">”</w:t>
      </w:r>
      <w:r>
        <w:t xml:space="preserve">. Nel rispetto di tali criteri, l’analisi: </w:t>
      </w:r>
    </w:p>
    <w:p>
      <w:pPr>
        <w:numPr>
          <w:numId w:val="1001"/>
          <w:ilvl w:val="0"/>
        </w:numPr>
      </w:pPr>
      <w:r>
        <w:t xml:space="preserve">considera la componente probabilistica del rischio;</w:t>
      </w:r>
    </w:p>
    <w:p>
      <w:pPr>
        <w:numPr>
          <w:numId w:val="1001"/>
          <w:ilvl w:val="0"/>
        </w:numPr>
      </w:pPr>
      <w:r>
        <w:t xml:space="preserve">si fonda su criteri di conservatività;</w:t>
      </w:r>
    </w:p>
    <w:p>
      <w:pPr>
        <w:numPr>
          <w:numId w:val="1001"/>
          <w:ilvl w:val="0"/>
        </w:numPr>
      </w:pPr>
      <w:r>
        <w:t xml:space="preserve">richiede cura nella scelta dei parametri sito-specifici; </w:t>
      </w:r>
    </w:p>
    <w:p>
      <w:pPr>
        <w:numPr>
          <w:numId w:val="1001"/>
          <w:ilvl w:val="0"/>
        </w:numPr>
      </w:pPr>
      <w:r>
        <w:t xml:space="preserve">considera, ai fini dell’individuazione e dell’analisi dei possibili</w:t>
      </w:r>
      <w:r>
        <w:t xml:space="preserve"> </w:t>
      </w:r>
      <w:r>
        <w:t xml:space="preserve">percorsi di esposizione, dei bersagli, nonché nella definizione degli</w:t>
      </w:r>
      <w:r>
        <w:t xml:space="preserve"> </w:t>
      </w:r>
      <w:r>
        <w:t xml:space="preserve">obiettivi di bonifica, la destinazione d’uso (presente e futura) del</w:t>
      </w:r>
      <w:r>
        <w:t xml:space="preserve"> </w:t>
      </w:r>
      <w:r>
        <w:t xml:space="preserve">sito. </w:t>
      </w:r>
    </w:p>
    <w:p>
      <w:pPr>
        <w:pStyle w:val="FirstParagraph"/>
      </w:pPr>
      <w:r>
        <w:t xml:space="preserve">L’analisi di rischio è lo strumento usato per stabilire se un sito è</w:t>
      </w:r>
      <w:r>
        <w:t xml:space="preserve"> </w:t>
      </w:r>
      <w:r>
        <w:t xml:space="preserve">contaminato e quindi definire la necessità di attuare interventi di</w:t>
      </w:r>
      <w:r>
        <w:t xml:space="preserve"> </w:t>
      </w:r>
      <w:r>
        <w:t xml:space="preserve">bonifica o di messa in sicurezza permanente. È inoltre sito-specifica ed</w:t>
      </w:r>
      <w:r>
        <w:t xml:space="preserve"> </w:t>
      </w:r>
      <w:r>
        <w:t xml:space="preserve">applicata in modalità inversa, ovvero si procede con la stima della</w:t>
      </w:r>
      <w:r>
        <w:t xml:space="preserve"> </w:t>
      </w:r>
      <w:r>
        <w:t xml:space="preserve">massima concentrazione (C</w:t>
      </w:r>
      <w:r>
        <w:rPr>
          <w:vertAlign w:val="subscript"/>
        </w:rPr>
        <w:t xml:space="preserve">max</w:t>
      </w:r>
      <w:r>
        <w:t xml:space="preserve">) alla sorgente, compatibile</w:t>
      </w:r>
      <w:r>
        <w:t xml:space="preserve"> </w:t>
      </w:r>
      <w:r>
        <w:t xml:space="preserve">con le condizioni di accettabilità del rischio al bersaglio esposto, e</w:t>
      </w:r>
      <w:r>
        <w:t xml:space="preserve"> </w:t>
      </w:r>
      <w:r>
        <w:t xml:space="preserve">successivamente al calcolo degli obiettivi di bonifica sito-specifici,</w:t>
      </w:r>
      <w:r>
        <w:t xml:space="preserve"> </w:t>
      </w:r>
      <w:r>
        <w:t xml:space="preserve">imponendo come rischio incrementale (rischio causato dalla causa oggetto</w:t>
      </w:r>
      <w:r>
        <w:t xml:space="preserve"> </w:t>
      </w:r>
      <w:r>
        <w:t xml:space="preserve">di studio) accettabile 10</w:t>
      </w:r>
      <w:r>
        <w:rPr>
          <w:vertAlign w:val="superscript"/>
        </w:rPr>
        <w:t xml:space="preserve">-6</w:t>
      </w:r>
      <w:r>
        <w:t xml:space="preserve"> </w:t>
      </w:r>
      <w:r>
        <w:t xml:space="preserve">per le sostanze</w:t>
      </w:r>
      <w:r>
        <w:t xml:space="preserve"> </w:t>
      </w:r>
      <w:r>
        <w:t xml:space="preserve">cancerogene e 1 per quelle non cancerogene. Il D.Lgs. 152/06 prevede</w:t>
      </w:r>
      <w:r>
        <w:t xml:space="preserve"> </w:t>
      </w:r>
      <w:r>
        <w:t xml:space="preserve">un’analisi che considera solo gli effetti della contaminazione sulla</w:t>
      </w:r>
      <w:r>
        <w:t xml:space="preserve"> </w:t>
      </w:r>
      <w:r>
        <w:t xml:space="preserve">salute umana: la valutazione del rischio ecologico, ad oggi, non è</w:t>
      </w:r>
      <w:r>
        <w:t xml:space="preserve"> </w:t>
      </w:r>
      <w:r>
        <w:t xml:space="preserve">prevista. I terreni contaminati in Spagna sono regolati dalla legge</w:t>
      </w:r>
      <w:r>
        <w:t xml:space="preserve"> </w:t>
      </w:r>
      <w:r>
        <w:t xml:space="preserve">22/2011, del 28 luglio e prevede la valutazione del rischio oltre che</w:t>
      </w:r>
      <w:r>
        <w:t xml:space="preserve"> </w:t>
      </w:r>
      <w:r>
        <w:t xml:space="preserve">alla salute umana, anche quello di tipo ecologico </w:t>
      </w:r>
      <w:r>
        <w:rPr>
          <w:vertAlign w:val="superscript"/>
        </w:rPr>
        <w:t xml:space="preserve">1</w:t>
      </w:r>
      <w:r>
        <w:t xml:space="preserve">.</w:t>
      </w:r>
      <w:r>
        <w:t xml:space="preserve"> </w:t>
      </w:r>
      <w:r>
        <w:t xml:space="preserve">Obiettivo del presente lavoro è il confronto dei risultati dell’analisi</w:t>
      </w:r>
      <w:r>
        <w:t xml:space="preserve"> </w:t>
      </w:r>
      <w:r>
        <w:t xml:space="preserve">svolta, ottenuti implementando diversi software, eseguita su di un sito</w:t>
      </w:r>
      <w:r>
        <w:t xml:space="preserve"> </w:t>
      </w:r>
      <w:r>
        <w:t xml:space="preserve">contaminato, prendendo come riferimento un caso studio. </w:t>
      </w:r>
    </w:p>
    <w:p>
      <w:pPr>
        <w:pStyle w:val="Heading1"/>
      </w:pPr>
      <w:bookmarkStart w:id="22" w:name="descrizione-dei-software-impiegati-e-presentazione-del-caso-studio"/>
      <w:bookmarkEnd w:id="22"/>
      <w:r>
        <w:t xml:space="preserve">Descrizione dei software impiegati e presentazione del caso</w:t>
      </w:r>
      <w:r>
        <w:t xml:space="preserve"> </w:t>
      </w:r>
      <w:r>
        <w:t xml:space="preserve">studio</w:t>
      </w:r>
    </w:p>
    <w:p>
      <w:pPr>
        <w:pStyle w:val="FirstParagraph"/>
      </w:pPr>
      <w:r>
        <w:t xml:space="preserve">La valutazione del rischio comprende la definizione della natura dei</w:t>
      </w:r>
      <w:r>
        <w:t xml:space="preserve"> </w:t>
      </w:r>
      <w:r>
        <w:t xml:space="preserve">prodotti chimici esposti, l’entità, il tempo, i meccanismi di trasporto,</w:t>
      </w:r>
      <w:r>
        <w:t xml:space="preserve"> </w:t>
      </w:r>
      <w:r>
        <w:t xml:space="preserve">le vie di esposizione e la sensibilità dei potenziali</w:t>
      </w:r>
      <w:r>
        <w:t xml:space="preserve"> </w:t>
      </w:r>
      <w:r>
        <w:t xml:space="preserve">ricettori </w:t>
      </w:r>
      <w:r>
        <w:rPr>
          <w:vertAlign w:val="superscript"/>
        </w:rPr>
        <w:t xml:space="preserve">2</w:t>
      </w:r>
      <w:r>
        <w:t xml:space="preserve">. In Europa sono stati sviluppati molti</w:t>
      </w:r>
      <w:r>
        <w:t xml:space="preserve"> </w:t>
      </w:r>
      <w:r>
        <w:t xml:space="preserve">modelli e strumenti di valutazione del rischio per la salute umana, tra</w:t>
      </w:r>
      <w:r>
        <w:t xml:space="preserve"> </w:t>
      </w:r>
      <w:r>
        <w:t xml:space="preserve">i quali CSOIL nei Paesi Bassi; Risk-net e ROME in</w:t>
      </w:r>
      <w:r>
        <w:t xml:space="preserve"> </w:t>
      </w:r>
      <w:r>
        <w:t xml:space="preserve">Italia </w:t>
      </w:r>
      <w:r>
        <w:rPr>
          <w:vertAlign w:val="superscript"/>
        </w:rPr>
        <w:t xml:space="preserve">3</w:t>
      </w:r>
      <w:r>
        <w:t xml:space="preserve">, </w:t>
      </w:r>
      <w:r>
        <w:rPr>
          <w:vertAlign w:val="superscript"/>
        </w:rPr>
        <w:t xml:space="preserve">4</w:t>
      </w:r>
      <w:r>
        <w:t xml:space="preserve">, </w:t>
      </w:r>
      <w:r>
        <w:rPr>
          <w:vertAlign w:val="superscript"/>
        </w:rPr>
        <w:t xml:space="preserve">5</w:t>
      </w:r>
      <w:r>
        <w:t xml:space="preserve">, </w:t>
      </w:r>
      <w:r>
        <w:rPr>
          <w:vertAlign w:val="superscript"/>
        </w:rPr>
        <w:t xml:space="preserve">6</w:t>
      </w:r>
      <w:r>
        <w:t xml:space="preserve">, </w:t>
      </w:r>
      <w:r>
        <w:rPr>
          <w:vertAlign w:val="superscript"/>
        </w:rPr>
        <w:t xml:space="preserve">7</w:t>
      </w:r>
      <w:r>
        <w:t xml:space="preserve"> </w:t>
      </w:r>
      <w:r>
        <w:t xml:space="preserve">e a livello globale il kit di strumenti RBCA, sviluppato dall’American</w:t>
      </w:r>
      <w:r>
        <w:t xml:space="preserve"> </w:t>
      </w:r>
      <w:r>
        <w:t xml:space="preserve">Society for Testing Materials (ASTM) negli Stati Uniti. Nel caso studio</w:t>
      </w:r>
      <w:r>
        <w:t xml:space="preserve"> </w:t>
      </w:r>
      <w:r>
        <w:t xml:space="preserve">analizzato sono stati impiegati i kit di strumenti RBCA e CSOIL</w:t>
      </w:r>
      <w:r>
        <w:t xml:space="preserve"> </w:t>
      </w:r>
      <w:r>
        <w:t xml:space="preserve">comunemente utilizzati in Spagna, e lo strumento Risk-net, basato sul</w:t>
      </w:r>
      <w:r>
        <w:t xml:space="preserve"> </w:t>
      </w:r>
      <w:r>
        <w:t xml:space="preserve">modello ASTM-RBCA e adattato al framework</w:t>
      </w:r>
      <w:r>
        <w:t xml:space="preserve"> </w:t>
      </w:r>
      <w:r>
        <w:t xml:space="preserve">italiano </w:t>
      </w:r>
      <w:r>
        <w:rPr>
          <w:vertAlign w:val="superscript"/>
        </w:rPr>
        <w:t xml:space="preserve">8</w:t>
      </w:r>
      <w:r>
        <w:t xml:space="preserve">. L’approccio del software RBCA è di tipo</w:t>
      </w:r>
      <w:r>
        <w:t xml:space="preserve"> </w:t>
      </w:r>
      <w:r>
        <w:t xml:space="preserve">graduale (tiered), nel quale ogni gradino (tier) corrisponde ad un</w:t>
      </w:r>
      <w:r>
        <w:t xml:space="preserve"> </w:t>
      </w:r>
      <w:r>
        <w:t xml:space="preserve">diverso livello di complessità e di conservatività. Il software Risk-net</w:t>
      </w:r>
      <w:r>
        <w:t xml:space="preserve"> </w:t>
      </w:r>
      <w:r>
        <w:t xml:space="preserve">ricalca la procedura APAT-ISPRA, coerente con gli indirizzi della</w:t>
      </w:r>
      <w:r>
        <w:t xml:space="preserve"> </w:t>
      </w:r>
      <w:r>
        <w:t xml:space="preserve">normativa italiana vigente ed infine il CSOIL consente di calcolare i</w:t>
      </w:r>
      <w:r>
        <w:t xml:space="preserve"> </w:t>
      </w:r>
      <w:r>
        <w:t xml:space="preserve">rischi a cui sono esposti gli esseri umani se entrano in contatto con la</w:t>
      </w:r>
      <w:r>
        <w:t xml:space="preserve"> </w:t>
      </w:r>
      <w:r>
        <w:t xml:space="preserve">contaminazione del suolo e anche la concentrazione massima di un</w:t>
      </w:r>
      <w:r>
        <w:t xml:space="preserve"> </w:t>
      </w:r>
      <w:r>
        <w:t xml:space="preserve">contaminante nel terreno che non rappresenta un rischio per l’uomo.  </w:t>
      </w:r>
    </w:p>
    <w:p>
      <w:pPr>
        <w:pStyle w:val="Heading1"/>
      </w:pPr>
      <w:bookmarkStart w:id="23" w:name="procedura-di-analisi-e-valutazione-del-rischio-del-sito"/>
      <w:bookmarkEnd w:id="23"/>
      <w:r>
        <w:t xml:space="preserve">Procedura di analisi e valutazione del rischio del</w:t>
      </w:r>
      <w:r>
        <w:t xml:space="preserve"> </w:t>
      </w:r>
      <w:r>
        <w:t xml:space="preserve">sito</w:t>
      </w:r>
    </w:p>
    <w:p>
      <w:pPr>
        <w:pStyle w:val="FirstParagraph"/>
      </w:pPr>
      <w:r>
        <w:t xml:space="preserve">L’area di interesse è situata nei pressi di una stazione di rifornimento</w:t>
      </w:r>
      <w:r>
        <w:t xml:space="preserve"> </w:t>
      </w:r>
      <w:r>
        <w:t xml:space="preserve">di benzina in un’area molto popolata. In un primo momento è stato</w:t>
      </w:r>
      <w:r>
        <w:t xml:space="preserve"> </w:t>
      </w:r>
      <w:r>
        <w:t xml:space="preserve">effettuato il campionamento del suolo, successivamente sottoposto ad</w:t>
      </w:r>
      <w:r>
        <w:t xml:space="preserve"> </w:t>
      </w:r>
      <w:r>
        <w:t xml:space="preserve">analisi di laboratorio con l’obiettivo di caratterizzarlo in termini di</w:t>
      </w:r>
      <w:r>
        <w:t xml:space="preserve"> </w:t>
      </w:r>
      <w:r>
        <w:t xml:space="preserve">Total Petroleum Hydrocarbons (TPH). Dopo, per quei campioni che</w:t>
      </w:r>
      <w:r>
        <w:t xml:space="preserve"> </w:t>
      </w:r>
      <w:r>
        <w:t xml:space="preserve">presentavano le concentrazioni più elevate, è stato valutato il rischio</w:t>
      </w:r>
      <w:r>
        <w:t xml:space="preserve"> </w:t>
      </w:r>
      <w:r>
        <w:t xml:space="preserve">per la salute umana. Le ipotesi alla base della valutazione sono:</w:t>
      </w:r>
    </w:p>
    <w:p>
      <w:pPr>
        <w:numPr>
          <w:numId w:val="1002"/>
          <w:ilvl w:val="0"/>
        </w:numPr>
      </w:pPr>
      <w:r>
        <w:t xml:space="preserve">bambini come bersagli della contaminazione, essendo più sensibili ai</w:t>
      </w:r>
      <w:r>
        <w:t xml:space="preserve"> </w:t>
      </w:r>
      <w:r>
        <w:t xml:space="preserve">contaminanti rispetto agli adulti; </w:t>
      </w:r>
    </w:p>
    <w:p>
      <w:pPr>
        <w:numPr>
          <w:numId w:val="1002"/>
          <w:ilvl w:val="0"/>
        </w:numPr>
      </w:pPr>
      <w:r>
        <w:t xml:space="preserve">destinazione d’uso del terreno residenziale (avendo considerato</w:t>
      </w:r>
      <w:r>
        <w:t xml:space="preserve"> </w:t>
      </w:r>
      <w:r>
        <w:t xml:space="preserve">bambini come potenziali bersagli); </w:t>
      </w:r>
    </w:p>
    <w:p>
      <w:pPr>
        <w:numPr>
          <w:numId w:val="1002"/>
          <w:ilvl w:val="0"/>
        </w:numPr>
      </w:pPr>
      <w:r>
        <w:t xml:space="preserve">ingestione del suolo, contatto cutaneo, ingestione di acqua e</w:t>
      </w:r>
      <w:r>
        <w:t xml:space="preserve"> </w:t>
      </w:r>
      <w:r>
        <w:t xml:space="preserve">inalazione di vapore come vie di esposizione alla contaminazione. </w:t>
      </w:r>
    </w:p>
    <w:p>
      <w:pPr>
        <w:pStyle w:val="FirstParagraph"/>
      </w:pPr>
      <w:r>
        <w:t xml:space="preserve">Sono stati prelevati otto campioni a profondità comprese tra 10 e 30 cm:</w:t>
      </w:r>
      <w:r>
        <w:t xml:space="preserve"> </w:t>
      </w:r>
      <w:r>
        <w:t xml:space="preserve">sono stati estratti con una coclea a mano e conservati in apposite</w:t>
      </w:r>
      <w:r>
        <w:t xml:space="preserve"> </w:t>
      </w:r>
      <w:r>
        <w:t xml:space="preserve">cassette catalogatrici, a basse temperature (4°C), fino all’analisi.</w:t>
      </w:r>
    </w:p>
    <w:p>
      <w:pPr>
        <w:pStyle w:val="FigureWithCaption"/>
      </w:pPr>
      <w:r>
        <w:drawing>
          <wp:inline>
            <wp:extent cx="3211103" cy="2140735"/>
            <wp:effectExtent b="0" l="0" r="0" t="0"/>
            <wp:docPr descr="Raccolta ed analisi di data set  " title="" id="1" name="Picture"/>
            <a:graphic>
              <a:graphicData uri="http://schemas.openxmlformats.org/drawingml/2006/picture">
                <pic:pic>
                  <pic:nvPicPr>
                    <pic:cNvPr descr="figures/Cattura/photo-1550645612-83f5d594b67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03" cy="214073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Raccolta ed analisi di data set </w:t>
      </w:r>
      <w:r>
        <w:t xml:space="preserve"> </w:t>
      </w:r>
    </w:p>
    <w:p>
      <w:pPr>
        <w:pStyle w:val="BodyText"/>
      </w:pPr>
      <w:r>
        <w:t xml:space="preserve">Dopo la ricezione del campione, il terreno è stato trattato mediante</w:t>
      </w:r>
      <w:r>
        <w:t xml:space="preserve"> </w:t>
      </w:r>
      <w:r>
        <w:t xml:space="preserve">liofilizzazione e setacciatura </w:t>
      </w:r>
      <w:r>
        <w:rPr>
          <w:vertAlign w:val="superscript"/>
        </w:rPr>
        <w:t xml:space="preserve">9</w:t>
      </w:r>
      <w:r>
        <w:t xml:space="preserve">. Come dimostrato in</w:t>
      </w:r>
      <w:r>
        <w:t xml:space="preserve"> </w:t>
      </w:r>
      <w:r>
        <w:t xml:space="preserve">uno studio precedente </w:t>
      </w:r>
      <w:r>
        <w:rPr>
          <w:vertAlign w:val="superscript"/>
        </w:rPr>
        <w:t xml:space="preserve">10</w:t>
      </w:r>
      <w:r>
        <w:t xml:space="preserve">, concentrazioni inferiori a 200</w:t>
      </w:r>
      <w:r>
        <w:t xml:space="preserve"> </w:t>
      </w:r>
      <w:r>
        <w:t xml:space="preserve">mg/kg non presentano rischi inaccettabili, dunque per quei campioni che</w:t>
      </w:r>
      <w:r>
        <w:t xml:space="preserve"> </w:t>
      </w:r>
      <w:r>
        <w:t xml:space="preserve">hanno mostrato concentrazioni di TPH superiori, è stato necessario</w:t>
      </w:r>
      <w:r>
        <w:t xml:space="preserve"> </w:t>
      </w:r>
      <w:r>
        <w:t xml:space="preserve">effettuare il frazionamento </w:t>
      </w:r>
      <w:r>
        <w:rPr>
          <w:vertAlign w:val="superscript"/>
        </w:rPr>
        <w:t xml:space="preserve">10</w:t>
      </w:r>
      <w:r>
        <w:t xml:space="preserve">. Sulla base di studi</w:t>
      </w:r>
      <w:r>
        <w:t xml:space="preserve"> </w:t>
      </w:r>
      <w:r>
        <w:t xml:space="preserve">precedenti </w:t>
      </w:r>
      <w:r>
        <w:rPr>
          <w:vertAlign w:val="superscript"/>
        </w:rPr>
        <w:t xml:space="preserve">11</w:t>
      </w:r>
      <w:r>
        <w:t xml:space="preserve">, sono state selezionate quattro frazioni</w:t>
      </w:r>
      <w:r>
        <w:t xml:space="preserve"> </w:t>
      </w:r>
      <w:r>
        <w:t xml:space="preserve">di TPH alifatiche (EC 9–12, EC 12–16, EC 16–21 e EC 21–40) e quattro</w:t>
      </w:r>
      <w:r>
        <w:t xml:space="preserve"> </w:t>
      </w:r>
      <w:r>
        <w:t xml:space="preserve">aromatiche (EC 10–12 , CE 12–16, CE 16–21 e CE 21–35). Ogni campione</w:t>
      </w:r>
      <w:r>
        <w:t xml:space="preserve"> </w:t>
      </w:r>
      <w:r>
        <w:t xml:space="preserve">è stato analizzato tre volte per  poi considerare come valore finale la</w:t>
      </w:r>
      <w:r>
        <w:t xml:space="preserve"> </w:t>
      </w:r>
      <w:r>
        <w:t xml:space="preserve">media dei tre risultati. Il contenuto di TPH e le sue frazioni sono</w:t>
      </w:r>
      <w:r>
        <w:t xml:space="preserve"> </w:t>
      </w:r>
      <w:r>
        <w:t xml:space="preserve">stati quantificati con un gascromatografo GC2010 Shimadzu dotato di</w:t>
      </w:r>
      <w:r>
        <w:t xml:space="preserve"> </w:t>
      </w:r>
      <w:r>
        <w:t xml:space="preserve">un rivelatore a ionizzazione di fiamma (GC – FID). </w:t>
      </w:r>
    </w:p>
    <w:p>
      <w:pPr>
        <w:pStyle w:val="Heading1"/>
      </w:pPr>
      <w:bookmarkStart w:id="25" w:name="risultati-dellanalisi"/>
      <w:bookmarkEnd w:id="25"/>
      <w:r>
        <w:t xml:space="preserve">Risultati dell’analisi</w:t>
      </w:r>
    </w:p>
    <w:p>
      <w:pPr>
        <w:pStyle w:val="FirstParagraph"/>
      </w:pPr>
      <w:r>
        <w:t xml:space="preserve">Due campioni hanno mostrato le concentrazioni più elevate, 20 volte</w:t>
      </w:r>
      <w:r>
        <w:t xml:space="preserve"> </w:t>
      </w:r>
      <w:r>
        <w:t xml:space="preserve">superiori rispetto al limite, per cui di questi ne è stata effettuata la</w:t>
      </w:r>
      <w:r>
        <w:t xml:space="preserve"> </w:t>
      </w:r>
      <w:r>
        <w:t xml:space="preserve">valutazione del rischio e il frazionamento di TPH. Sono state rilevate</w:t>
      </w:r>
      <w:r>
        <w:t xml:space="preserve"> </w:t>
      </w:r>
      <w:r>
        <w:t xml:space="preserve">tre diverse frazioni: EC21–40 alifatico, EC16–21 aromatico e EC21–35</w:t>
      </w:r>
      <w:r>
        <w:t xml:space="preserve"> </w:t>
      </w:r>
      <w:r>
        <w:t xml:space="preserve">aromatico. I software hanno permesso di valutare un Hazard Quotient (HQ)</w:t>
      </w:r>
      <w:r>
        <w:t xml:space="preserve"> </w:t>
      </w:r>
      <w:r>
        <w:t xml:space="preserve">per singole frazioni non cancerogene, che sono riportate nella figura</w:t>
      </w:r>
      <w:r>
        <w:t xml:space="preserve"> </w:t>
      </w:r>
      <w:r>
        <w:t xml:space="preserve">seguente. </w:t>
      </w:r>
    </w:p>
    <w:p>
      <w:pPr>
        <w:pStyle w:val="BodyText"/>
      </w:pPr>
      <w:r>
        <w:t xml:space="preserve">Per un campioni gli strumenti RBCA e Risk-net prevedono rischi</w:t>
      </w:r>
      <w:r>
        <w:t xml:space="preserve"> </w:t>
      </w:r>
      <w:r>
        <w:t xml:space="preserve">inaccettabili per le due frazioni aromatiche, mentre la frazione</w:t>
      </w:r>
      <w:r>
        <w:t xml:space="preserve"> </w:t>
      </w:r>
      <w:r>
        <w:t xml:space="preserve">alifatica presenta rischi inferiori a 1,0 dunque accettabili. Le stesse</w:t>
      </w:r>
      <w:r>
        <w:t xml:space="preserve"> </w:t>
      </w:r>
      <w:r>
        <w:t xml:space="preserve">considerazioni possono essere estese ad un altro campione.  Considerando</w:t>
      </w:r>
      <w:r>
        <w:t xml:space="preserve"> </w:t>
      </w:r>
      <w:r>
        <w:t xml:space="preserve">invece i risultati ottenuti per le diverse frazioni e vie di</w:t>
      </w:r>
      <w:r>
        <w:t xml:space="preserve"> </w:t>
      </w:r>
      <w:r>
        <w:t xml:space="preserve">esposizione, riportate nella figura successiva, si può affermare che: </w:t>
      </w:r>
    </w:p>
    <w:p>
      <w:pPr>
        <w:numPr>
          <w:numId w:val="1003"/>
          <w:ilvl w:val="0"/>
        </w:numPr>
      </w:pPr>
      <w:r>
        <w:t xml:space="preserve">la frazione alifatica del campione più critico non presenta rischi</w:t>
      </w:r>
      <w:r>
        <w:t xml:space="preserve"> </w:t>
      </w:r>
      <w:r>
        <w:t xml:space="preserve">inaccettabili per nessuno strumento e nessuna via di esposizione; </w:t>
      </w:r>
    </w:p>
    <w:p>
      <w:pPr>
        <w:numPr>
          <w:numId w:val="1003"/>
          <w:ilvl w:val="0"/>
        </w:numPr>
      </w:pPr>
      <w:r>
        <w:t xml:space="preserve">la frazione aromatica di EC 16–21 presenta il rischio più elevato</w:t>
      </w:r>
      <w:r>
        <w:t xml:space="preserve"> </w:t>
      </w:r>
      <w:r>
        <w:t xml:space="preserve">attraverso l’ingestione di acqua con gli strumenti RBCA e Risk-net,</w:t>
      </w:r>
      <w:r>
        <w:t xml:space="preserve"> </w:t>
      </w:r>
      <w:r>
        <w:t xml:space="preserve">mentre lo CSOIL stima un valore molto inferiore; </w:t>
      </w:r>
    </w:p>
    <w:p>
      <w:pPr>
        <w:numPr>
          <w:numId w:val="1003"/>
          <w:ilvl w:val="0"/>
        </w:numPr>
      </w:pPr>
      <w:r>
        <w:t xml:space="preserve">per la frazione aromatica EC21–35, gli strumenti RBCA e Risk-net</w:t>
      </w:r>
      <w:r>
        <w:t xml:space="preserve"> </w:t>
      </w:r>
      <w:r>
        <w:t xml:space="preserve">considerando come via di esposizione più gravosa l’ingestione di acqua</w:t>
      </w:r>
      <w:r>
        <w:t xml:space="preserve"> </w:t>
      </w:r>
      <w:r>
        <w:t xml:space="preserve">presentando anche risultati simili, mentre per lo strumento CSOIL, la</w:t>
      </w:r>
      <w:r>
        <w:t xml:space="preserve"> </w:t>
      </w:r>
      <w:r>
        <w:t xml:space="preserve">via di esposizione più importante è l’ingestione del suolo. Le stesse</w:t>
      </w:r>
      <w:r>
        <w:t xml:space="preserve"> </w:t>
      </w:r>
      <w:r>
        <w:t xml:space="preserve">riflessioni valgono per i campioni per il quali si sono registrati</w:t>
      </w:r>
      <w:r>
        <w:t xml:space="preserve"> </w:t>
      </w:r>
      <w:r>
        <w:t xml:space="preserve">valori leggermente più bassi perché le concentrazioni iniziali delle</w:t>
      </w:r>
      <w:r>
        <w:t xml:space="preserve"> </w:t>
      </w:r>
      <w:r>
        <w:t xml:space="preserve">diverse frazioni di TPH erano inferiori rispetto a quelle del campione</w:t>
      </w:r>
      <w:r>
        <w:t xml:space="preserve"> </w:t>
      </w:r>
      <w:r>
        <w:t xml:space="preserve">con concentrazione maggiore. </w:t>
      </w:r>
    </w:p>
    <w:p>
      <w:pPr>
        <w:pStyle w:val="FirstParagraph"/>
      </w:pPr>
      <w:r>
        <w:br w:type="textWrapping"/>
      </w:r>
      <w:r>
        <w:t xml:space="preserve">Per la via di esposizione di ingestione del suolo, gli strumenti RBCA e</w:t>
      </w:r>
      <w:r>
        <w:t xml:space="preserve"> </w:t>
      </w:r>
      <w:r>
        <w:t xml:space="preserve">Risk-net forniscono un valore di TPH analogo perché applicano la stessa</w:t>
      </w:r>
      <w:r>
        <w:t xml:space="preserve"> </w:t>
      </w:r>
      <w:r>
        <w:t xml:space="preserve">equazione, e questo risulta essere circa il doppio del risultato dello</w:t>
      </w:r>
      <w:r>
        <w:t xml:space="preserve"> </w:t>
      </w:r>
      <w:r>
        <w:t xml:space="preserve">CSOIL: il parametro che produce la differenza è il tasso di</w:t>
      </w:r>
      <w:r>
        <w:t xml:space="preserve"> </w:t>
      </w:r>
      <w:r>
        <w:t xml:space="preserve">ingestione del suolo il cui valore USA è il doppio del valore olandese.</w:t>
      </w:r>
      <w:r>
        <w:t xml:space="preserve"> </w:t>
      </w:r>
      <w:r>
        <w:t xml:space="preserve">Per quanto riguarda la via di esposizione di ingestione di acqua</w:t>
      </w:r>
      <w:r>
        <w:t xml:space="preserve"> </w:t>
      </w:r>
      <w:r>
        <w:t xml:space="preserve">contaminata si osservano valori più alti e simili considerando i modelli</w:t>
      </w:r>
      <w:r>
        <w:t xml:space="preserve"> </w:t>
      </w:r>
      <w:r>
        <w:t xml:space="preserve">RBCA e Risk-net, differentemente dal modello CSOIL che ha riportato un</w:t>
      </w:r>
      <w:r>
        <w:t xml:space="preserve"> </w:t>
      </w:r>
      <w:r>
        <w:t xml:space="preserve">valore molto più basso: la differenza è motivata dal fatto che i modelli</w:t>
      </w:r>
      <w:r>
        <w:t xml:space="preserve"> </w:t>
      </w:r>
      <w:r>
        <w:t xml:space="preserve">RBCA e Risk-net considerano che i contaminanti del suolo possano</w:t>
      </w:r>
      <w:r>
        <w:t xml:space="preserve"> </w:t>
      </w:r>
      <w:r>
        <w:t xml:space="preserve">lisciviare e influenzare le acque sotterranee successivamente consumate</w:t>
      </w:r>
      <w:r>
        <w:t xml:space="preserve"> </w:t>
      </w:r>
      <w:r>
        <w:t xml:space="preserve">dall’uomo, mentre il modello CSOIL ritiene che le acque contaminate non</w:t>
      </w:r>
      <w:r>
        <w:t xml:space="preserve"> </w:t>
      </w:r>
      <w:r>
        <w:t xml:space="preserve">vengano ingerite direttamente, ma che una tubazione possa trovarsi a</w:t>
      </w:r>
      <w:r>
        <w:t xml:space="preserve"> </w:t>
      </w:r>
      <w:r>
        <w:t xml:space="preserve">contatto con acque sotterranee contaminate e che quindi le sostanze</w:t>
      </w:r>
      <w:r>
        <w:t xml:space="preserve"> </w:t>
      </w:r>
      <w:r>
        <w:t xml:space="preserve">possano penetrare attraverso la tubazione, ma al contempo che le acque</w:t>
      </w:r>
      <w:r>
        <w:t xml:space="preserve"> </w:t>
      </w:r>
      <w:r>
        <w:t xml:space="preserve">vengano trattate prima di essere distribuite. Poiché la pressione di</w:t>
      </w:r>
      <w:r>
        <w:t xml:space="preserve"> </w:t>
      </w:r>
      <w:r>
        <w:t xml:space="preserve">vapore delle frazioni rilevate sono risultate basse tali da evitare la</w:t>
      </w:r>
      <w:r>
        <w:t xml:space="preserve"> </w:t>
      </w:r>
      <w:r>
        <w:t xml:space="preserve">dispersione nell’aria </w:t>
      </w:r>
      <w:r>
        <w:rPr>
          <w:vertAlign w:val="superscript"/>
        </w:rPr>
        <w:t xml:space="preserve">12</w:t>
      </w:r>
      <w:r>
        <w:t xml:space="preserve">, questa non è stata considerata</w:t>
      </w:r>
      <w:r>
        <w:t xml:space="preserve"> </w:t>
      </w:r>
      <w:r>
        <w:t xml:space="preserve">come possibile via di migrazione del contaminante.  </w:t>
      </w:r>
    </w:p>
    <w:p>
      <w:pPr>
        <w:pStyle w:val="Heading1"/>
      </w:pPr>
      <w:bookmarkStart w:id="26" w:name="conclusioni"/>
      <w:bookmarkEnd w:id="26"/>
      <w:r>
        <w:t xml:space="preserve">Conclusioni</w:t>
      </w:r>
    </w:p>
    <w:p>
      <w:pPr>
        <w:pStyle w:val="FirstParagraph"/>
      </w:pPr>
      <w:r>
        <w:t xml:space="preserve">Il presente lavoro ha riguardato il confronto dei risultati ottenuti,</w:t>
      </w:r>
      <w:r>
        <w:t xml:space="preserve"> </w:t>
      </w:r>
      <w:r>
        <w:t xml:space="preserve">impiegando diversi software, per la valutazione del rischio</w:t>
      </w:r>
      <w:r>
        <w:t xml:space="preserve"> </w:t>
      </w:r>
      <w:r>
        <w:t xml:space="preserve">sanitario-ambientale. Nello studio è stata descritta inizialmente la</w:t>
      </w:r>
      <w:r>
        <w:t xml:space="preserve"> </w:t>
      </w:r>
      <w:r>
        <w:t xml:space="preserve">fase di campionamento del suolo e delle analisi condotte in laboratorio</w:t>
      </w:r>
      <w:r>
        <w:t xml:space="preserve"> </w:t>
      </w:r>
      <w:r>
        <w:t xml:space="preserve">dei campioni.  Due dei campioni estratti hanno registrato una</w:t>
      </w:r>
      <w:r>
        <w:t xml:space="preserve"> </w:t>
      </w:r>
      <w:r>
        <w:t xml:space="preserve">concentrazione superiore al valore limite e dunque sono stati sottoposti</w:t>
      </w:r>
      <w:r>
        <w:t xml:space="preserve"> </w:t>
      </w:r>
      <w:r>
        <w:t xml:space="preserve">a frazionamento e alla valutazione del rischio, con i software RBCA,</w:t>
      </w:r>
      <w:r>
        <w:t xml:space="preserve"> </w:t>
      </w:r>
      <w:r>
        <w:t xml:space="preserve">CSOIL e Risk-net. Dai risultati riportati nel caso studio è emerso che:</w:t>
      </w:r>
    </w:p>
    <w:p>
      <w:pPr>
        <w:numPr>
          <w:numId w:val="1004"/>
          <w:ilvl w:val="0"/>
        </w:numPr>
      </w:pPr>
      <w:r>
        <w:t xml:space="preserve">gli strumenti RBCA e Risk-net, seguendo un approccio simile, hanno</w:t>
      </w:r>
      <w:r>
        <w:t xml:space="preserve"> </w:t>
      </w:r>
      <w:r>
        <w:t xml:space="preserve">riportato risultati confrontabili, indicando come via di esposizione</w:t>
      </w:r>
      <w:r>
        <w:t xml:space="preserve"> </w:t>
      </w:r>
      <w:r>
        <w:t xml:space="preserve">principale, l’ingestione di acqua potabile;</w:t>
      </w:r>
    </w:p>
    <w:p>
      <w:pPr>
        <w:numPr>
          <w:numId w:val="1004"/>
          <w:ilvl w:val="0"/>
        </w:numPr>
      </w:pPr>
      <w:r>
        <w:t xml:space="preserve">secondo  il modello CSOIL, la principale via di esposizione ai</w:t>
      </w:r>
      <w:r>
        <w:t xml:space="preserve"> </w:t>
      </w:r>
      <w:r>
        <w:t xml:space="preserve">contaminanti è costituita dall’ingestione di terreno. </w:t>
      </w:r>
    </w:p>
    <w:p>
      <w:pPr>
        <w:numPr>
          <w:numId w:val="1004"/>
          <w:ilvl w:val="0"/>
        </w:numPr>
      </w:pPr>
      <w:r>
        <w:t xml:space="preserve">La differenza tra i modelli riguarda sostanzialmente l’approccio: RBCA</w:t>
      </w:r>
      <w:r>
        <w:t xml:space="preserve"> </w:t>
      </w:r>
      <w:r>
        <w:t xml:space="preserve">e Risk-net sono utili per scenari in cui le acque sotterranee</w:t>
      </w:r>
      <w:r>
        <w:t xml:space="preserve"> </w:t>
      </w:r>
      <w:r>
        <w:t xml:space="preserve">interessate possono essere ingerite direttamente, mentre CSOIL</w:t>
      </w:r>
      <w:r>
        <w:t xml:space="preserve"> </w:t>
      </w:r>
      <w:r>
        <w:t xml:space="preserve">considera che i contaminanti possano penetrare nella tubazione che</w:t>
      </w:r>
      <w:r>
        <w:t xml:space="preserve"> </w:t>
      </w:r>
      <w:r>
        <w:t xml:space="preserve">trasporta l’acqua, contaminandola, ma che poi questa venga trattata</w:t>
      </w:r>
      <w:r>
        <w:t xml:space="preserve"> </w:t>
      </w:r>
      <w:r>
        <w:t xml:space="preserve">prima di essere distribuita.</w:t>
      </w:r>
    </w:p>
    <w:p>
      <w:pPr>
        <w:numPr>
          <w:numId w:val="1004"/>
          <w:ilvl w:val="0"/>
        </w:numPr>
      </w:pPr>
      <w:r>
        <w:t xml:space="preserve">Il modello CSOIL rappresenta le condizioni effettive di valutazione</w:t>
      </w:r>
      <w:r>
        <w:t xml:space="preserve"> </w:t>
      </w:r>
      <w:r>
        <w:t xml:space="preserve">del rischio del sito, registrando valori del rischio accettabili</w:t>
      </w:r>
    </w:p>
    <w:p>
      <w:pPr>
        <w:pStyle w:val="FirstParagraph"/>
      </w:pPr>
      <w:r>
        <w:t xml:space="preserve">Nonostante le conclusioni del caso studio riportino che il software</w:t>
      </w:r>
      <w:r>
        <w:t xml:space="preserve"> </w:t>
      </w:r>
      <w:r>
        <w:t xml:space="preserve">CSOIL sia il modello più adatto, in virtù dei risultati prodotti</w:t>
      </w:r>
      <w:r>
        <w:t xml:space="preserve"> </w:t>
      </w:r>
      <w:r>
        <w:t xml:space="preserve">(accettabile a differenza degli altri due modelli) e per le ipotesi su</w:t>
      </w:r>
      <w:r>
        <w:t xml:space="preserve"> </w:t>
      </w:r>
      <w:r>
        <w:t xml:space="preserve">cui si fonda, è possibile affermare che esso potrebbe risultare troppo </w:t>
      </w:r>
      <w:r>
        <w:t xml:space="preserve"> </w:t>
      </w:r>
      <w:r>
        <w:t xml:space="preserve">poco conservativo, e per questo fornire risultati non particolarmente</w:t>
      </w:r>
      <w:r>
        <w:t xml:space="preserve"> </w:t>
      </w:r>
      <w:r>
        <w:t xml:space="preserve">affidabili.  </w:t>
      </w:r>
    </w:p>
    <w:p>
      <w:pPr>
        <w:pStyle w:val="BodyText"/>
      </w:pPr>
      <w:r>
        <w:br w:type="textWrapping"/>
      </w:r>
    </w:p>
    <w:p>
      <w:pPr>
        <w:pStyle w:val="Heading1"/>
      </w:pPr>
      <w:bookmarkStart w:id="27" w:name="references"/>
      <w:bookmarkEnd w:id="27"/>
      <w:r>
        <w:t xml:space="preserve">References</w:t>
      </w:r>
    </w:p>
    <w:p>
      <w:pPr>
        <w:pStyle w:val="FirstParagraph"/>
      </w:pPr>
      <w:r>
        <w:t xml:space="preserve">1.D’Aprile, L.</w:t>
      </w:r>
      <w:r>
        <w:t xml:space="preserve"> </w:t>
      </w:r>
      <w:r>
        <w:t xml:space="preserve">Bonifiche e normativa: stato dell’arte</w:t>
      </w:r>
      <w:r>
        <w:t xml:space="preserve">.</w:t>
      </w:r>
      <w:r>
        <w:t xml:space="preserve"> </w:t>
      </w:r>
      <w:r>
        <w:rPr>
          <w:i/>
        </w:rPr>
        <w:t xml:space="preserve">Ecoscienza</w:t>
      </w:r>
      <w:r>
        <w:t xml:space="preserve"> </w:t>
      </w:r>
      <w:r>
        <w:rPr>
          <w:b/>
        </w:rPr>
        <w:t xml:space="preserve">3</w:t>
      </w:r>
      <w:r>
        <w:t xml:space="preserve">, (2010).</w:t>
      </w:r>
    </w:p>
    <w:p>
      <w:pPr>
        <w:pStyle w:val="BodyText"/>
      </w:pPr>
      <w:r>
        <w:t xml:space="preserve">2.USEPA.</w:t>
      </w:r>
      <w:r>
        <w:t xml:space="preserve"> </w:t>
      </w:r>
      <w:r>
        <w:t xml:space="preserve">Human Health Risk Assessment Strategic Research Action Plan 2012-2016 | US EPA</w:t>
      </w:r>
      <w:r>
        <w:t xml:space="preserve">. in (EPA Research, 2012).</w:t>
      </w:r>
    </w:p>
    <w:p>
      <w:pPr>
        <w:pStyle w:val="BodyText"/>
      </w:pPr>
      <w:r>
        <w:t xml:space="preserve">3.APAT.</w:t>
      </w:r>
      <w:r>
        <w:t xml:space="preserve"> </w:t>
      </w:r>
      <w:r>
        <w:t xml:space="preserve">Methodological Criteria for Risk Assessment Application to Contaminated Sites (Rev.2)</w:t>
      </w:r>
      <w:r>
        <w:t xml:space="preserve">. in</w:t>
      </w:r>
      <w:r>
        <w:t xml:space="preserve"> </w:t>
      </w:r>
      <w:r>
        <w:rPr>
          <w:i/>
        </w:rPr>
        <w:t xml:space="preserve">Environmental Protection and Technical Service Agency, Rome, Italy</w:t>
      </w:r>
      <w:r>
        <w:t xml:space="preserve"> </w:t>
      </w:r>
      <w:r>
        <w:t xml:space="preserve">(</w:t>
      </w:r>
      <w:hyperlink r:id="rId28">
        <w:r>
          <w:rPr>
            <w:rStyle w:val="Hyperlink"/>
          </w:rPr>
          <w:t xml:space="preserve">http://www.isprambiente.gov.it/files/temi/siti-contaminati-02marzo08.pdf,</w:t>
        </w:r>
      </w:hyperlink>
      <w:r>
        <w:t xml:space="preserve"> </w:t>
      </w:r>
      <w:r>
        <w:t xml:space="preserve">2008).</w:t>
      </w:r>
    </w:p>
    <w:p>
      <w:pPr>
        <w:pStyle w:val="BodyText"/>
      </w:pPr>
      <w:r>
        <w:t xml:space="preserve">4.ASTM.</w:t>
      </w:r>
      <w:r>
        <w:t xml:space="preserve"> </w:t>
      </w:r>
      <w:r>
        <w:t xml:space="preserve">Guide for Risk-Based Corrective Action Applied at Petroleum Release Sites</w:t>
      </w:r>
      <w:r>
        <w:t xml:space="preserve">. in (</w:t>
      </w:r>
      <w:r>
        <w:t xml:space="preserve">ASTM</w:t>
      </w:r>
      <w:r>
        <w:t xml:space="preserve"> </w:t>
      </w:r>
      <w:r>
        <w:t xml:space="preserve">International, 2004). doi:10.1520/e1739-95e01.</w:t>
      </w:r>
    </w:p>
    <w:p>
      <w:pPr>
        <w:pStyle w:val="BodyText"/>
      </w:pPr>
      <w:r>
        <w:t xml:space="preserve">5.Brand, E., Otte, P. F. &amp; Lijzen, J. P. A.</w:t>
      </w:r>
      <w:r>
        <w:t xml:space="preserve"> </w:t>
      </w:r>
      <w:r>
        <w:t xml:space="preserve">CSOIL 2000 an Exposure Model for Human Risk Assessment of Soil Contamination. A Model Description</w:t>
      </w:r>
      <w:r>
        <w:t xml:space="preserve">.</w:t>
      </w:r>
      <w:r>
        <w:t xml:space="preserve"> </w:t>
      </w:r>
      <w:r>
        <w:rPr>
          <w:i/>
        </w:rPr>
        <w:t xml:space="preserve">National Institute for Public Health and the Environment (RIVM), Bilthoven, The Netherlands</w:t>
      </w:r>
      <w:r>
        <w:t xml:space="preserve"> </w:t>
      </w:r>
      <w:r>
        <w:t xml:space="preserve">(2007).</w:t>
      </w:r>
    </w:p>
    <w:p>
      <w:pPr>
        <w:pStyle w:val="BodyText"/>
      </w:pPr>
      <w:r>
        <w:t xml:space="preserve">6.Carlon, C.</w:t>
      </w:r>
      <w:r>
        <w:t xml:space="preserve"> </w:t>
      </w:r>
      <w:r>
        <w:rPr>
          <w:i/>
        </w:rPr>
        <w:t xml:space="preserve">Derivation methods of soil screening values in Europe. A review and evaluation of national procedures towards harmonisation - ESDAC - European Commission</w:t>
      </w:r>
      <w:r>
        <w:t xml:space="preserve">. (</w:t>
      </w:r>
      <w:hyperlink r:id="rId29">
        <w:r>
          <w:rPr>
            <w:rStyle w:val="Hyperlink"/>
          </w:rPr>
          <w:t xml:space="preserve">https://esdac.jrc.ec.europa.eu/content/derivation-methods-soil-screening-values-europe-review-and-evaluation-national-procedures,</w:t>
        </w:r>
      </w:hyperlink>
      <w:r>
        <w:t xml:space="preserve"> </w:t>
      </w:r>
      <w:r>
        <w:t xml:space="preserve">2007).</w:t>
      </w:r>
    </w:p>
    <w:p>
      <w:pPr>
        <w:pStyle w:val="BodyText"/>
      </w:pPr>
      <w:r>
        <w:t xml:space="preserve">7.Connor, J. A., Bowers, R. L., McHugh, T. E. &amp; Spexet, A. M. H.</w:t>
      </w:r>
      <w:r>
        <w:t xml:space="preserve"> </w:t>
      </w:r>
      <w:r>
        <w:rPr>
          <w:i/>
        </w:rPr>
        <w:t xml:space="preserve">RBCA Software Tool Kit for Chemical Releases Version 2.6</w:t>
      </w:r>
      <w:r>
        <w:t xml:space="preserve">. (GSI Environmental, Inc., Houston, Texas, USA, 2009).</w:t>
      </w:r>
    </w:p>
    <w:p>
      <w:pPr>
        <w:pStyle w:val="BodyText"/>
      </w:pPr>
      <w:r>
        <w:t xml:space="preserve">8.Pinedo, J., Ib</w:t>
      </w:r>
      <w:r>
        <w:t xml:space="preserve">á</w:t>
      </w:r>
      <w:r>
        <w:t xml:space="preserve">ñ</w:t>
      </w:r>
      <w:r>
        <w:t xml:space="preserve">ez, R. &amp; Irabien,</w:t>
      </w:r>
      <w:r>
        <w:t xml:space="preserve"> </w:t>
      </w:r>
      <w:r>
        <w:t xml:space="preserve">Á.</w:t>
      </w:r>
      <w:r>
        <w:t xml:space="preserve"> </w:t>
      </w:r>
      <w:r>
        <w:t xml:space="preserve">A comparison of models for assessing human risks of petroleum hydrocarbons in polluted soils</w:t>
      </w:r>
      <w:r>
        <w:t xml:space="preserve">.</w:t>
      </w:r>
      <w:r>
        <w:t xml:space="preserve"> </w:t>
      </w:r>
      <w:r>
        <w:rPr>
          <w:i/>
        </w:rPr>
        <w:t xml:space="preserve">Environmental Modelling</w:t>
      </w:r>
      <w:r>
        <w:rPr>
          <w:i/>
        </w:rPr>
        <w:t xml:space="preserve"> </w:t>
      </w:r>
      <w:r>
        <w:rPr>
          <w:i/>
        </w:rPr>
        <w:t xml:space="preserve">&amp;</w:t>
      </w:r>
      <w:r>
        <w:rPr>
          <w:i/>
        </w:rPr>
        <w:t xml:space="preserve"> </w:t>
      </w:r>
      <w:r>
        <w:rPr>
          <w:i/>
        </w:rPr>
        <w:t xml:space="preserve">Software</w:t>
      </w:r>
      <w:r>
        <w:t xml:space="preserve"> </w:t>
      </w:r>
      <w:r>
        <w:rPr>
          <w:b/>
        </w:rPr>
        <w:t xml:space="preserve">55</w:t>
      </w:r>
      <w:r>
        <w:t xml:space="preserve">, 61–69 (2014</w:t>
      </w:r>
      <w:r>
        <w:t xml:space="preserve">).</w:t>
      </w:r>
    </w:p>
    <w:p>
      <w:pPr>
        <w:pStyle w:val="BodyText"/>
      </w:pPr>
      <w:r>
        <w:t xml:space="preserve">9.ISO.</w:t>
      </w:r>
      <w:r>
        <w:t xml:space="preserve"> </w:t>
      </w:r>
      <w:r>
        <w:t xml:space="preserve">ISO 2005a</w:t>
      </w:r>
      <w:r>
        <w:t xml:space="preserve">. in (International Organization for Standardization, Geneva, Switzerland, 2005).</w:t>
      </w:r>
    </w:p>
    <w:p>
      <w:pPr>
        <w:pStyle w:val="BodyText"/>
      </w:pPr>
      <w:r>
        <w:t xml:space="preserve">10.Pinedo, J., Ib</w:t>
      </w:r>
      <w:r>
        <w:t xml:space="preserve">á</w:t>
      </w:r>
      <w:r>
        <w:t xml:space="preserve">ñ</w:t>
      </w:r>
      <w:r>
        <w:t xml:space="preserve">ez, R., Lijzen, J. P. A. &amp; Irabien,</w:t>
      </w:r>
      <w:r>
        <w:t xml:space="preserve"> </w:t>
      </w:r>
      <w:r>
        <w:t xml:space="preserve">Á.</w:t>
      </w:r>
      <w:r>
        <w:t xml:space="preserve"> </w:t>
      </w:r>
      <w:r>
        <w:t xml:space="preserve">Human Risk Assessment of Contaminated Soils by Oil Products: Total</w:t>
      </w:r>
      <w:r>
        <w:t xml:space="preserve"> </w:t>
      </w:r>
      <w:r>
        <w:t xml:space="preserve">TPH</w:t>
      </w:r>
      <w:r>
        <w:t xml:space="preserve"> </w:t>
      </w:r>
      <w:r>
        <w:t xml:space="preserve">Content Versus Fraction Approach</w:t>
      </w:r>
      <w:r>
        <w:t xml:space="preserve">.</w:t>
      </w:r>
      <w:r>
        <w:t xml:space="preserve"> </w:t>
      </w:r>
      <w:r>
        <w:rPr>
          <w:i/>
        </w:rPr>
        <w:t xml:space="preserve">Human and Ecological Risk Assessment: An International Journal</w:t>
      </w:r>
      <w:r>
        <w:t xml:space="preserve"> </w:t>
      </w:r>
      <w:r>
        <w:t xml:space="preserve">1231–1248 (2013) doi:10.1080/10807039.2013.831264</w:t>
      </w:r>
      <w:r>
        <w:t xml:space="preserve">.</w:t>
      </w:r>
    </w:p>
    <w:p>
      <w:pPr>
        <w:pStyle w:val="BodyText"/>
      </w:pPr>
      <w:r>
        <w:t xml:space="preserve">11.Pinedo, J., Ibañez, R., Primo, O. &amp; Irabien, A.</w:t>
      </w:r>
      <w:r>
        <w:t xml:space="preserve"> </w:t>
      </w:r>
      <w:r>
        <w:t xml:space="preserve">Hydrocarbons Analysis for Risk Assessment in Polluted Soils | Semantic Scholar</w:t>
      </w:r>
      <w:r>
        <w:t xml:space="preserve">.</w:t>
      </w:r>
      <w:r>
        <w:t xml:space="preserve"> </w:t>
      </w:r>
      <w:r>
        <w:rPr>
          <w:i/>
        </w:rPr>
        <w:t xml:space="preserve">Chemical Engineering Transactions</w:t>
      </w:r>
      <w:r>
        <w:t xml:space="preserve"> </w:t>
      </w:r>
      <w:r>
        <w:rPr>
          <w:b/>
        </w:rPr>
        <w:t xml:space="preserve">28</w:t>
      </w:r>
      <w:r>
        <w:t xml:space="preserve">, (2012).</w:t>
      </w:r>
    </w:p>
    <w:p>
      <w:pPr>
        <w:pStyle w:val="BodyText"/>
      </w:pPr>
      <w:r>
        <w:t xml:space="preserve">12.ATSDR.</w:t>
      </w:r>
      <w:r>
        <w:t xml:space="preserve"> </w:t>
      </w:r>
      <w:r>
        <w:t xml:space="preserve">Toxicological Profile for Total Petroleum Hydrocarbons (TPH)</w:t>
      </w:r>
      <w:r>
        <w:t xml:space="preserve">. in (U.S. Department of Health and Human Services, Public Health Service, Atlanta, Georgia, USA, 1999).</w:t>
      </w:r>
    </w:p>
    <w:sectPr/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0">
    <w:nsid w:val="e17f69ba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0">
    <w:nsid w:val="d690d9c8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201">
    <w:nsid w:val="591ba233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Letter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lowerRoman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Letter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lowerRoman"/>
      <w:lvlText w:val="%7."/>
      <w:lvlJc w:val="left"/>
      <w:pPr>
        <w:tabs>
          <w:tab w:val="num" w:pos="4320"/>
        </w:tabs>
        <w:ind w:left="4800" w:hanging="480"/>
      </w:pPr>
    </w:lvl>
  </w:abstractNum>
  <w:abstractNum w:abstractNumId="991">
    <w:nsid w:val="a005d76c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</w:abstractNum>
  <w:num w:numId="1">
    <w:abstractNumId w:val="0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1003">
    <w:abstractNumId w:val="991"/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image" Id="rId24" Target="media/rId24.png" /><Relationship Type="http://schemas.openxmlformats.org/officeDocument/2006/relationships/hyperlink" Id="rId28" Target="http://www.isprambiente.gov.it/files/temi/siti-contaminati-02marzo08.pdf," TargetMode="External" /><Relationship Type="http://schemas.openxmlformats.org/officeDocument/2006/relationships/hyperlink" Id="rId29" Target="https://esdac.jrc.ec.europa.eu/content/derivation-methods-soil-screening-values-europe-review-and-evaluation-national-procedures," TargetMode="External" /></Relationships>
</file>

<file path=word/_rels/footnotes.xml.rels><?xml version="1.0" encoding="UTF-8"?>
<Relationships xmlns="http://schemas.openxmlformats.org/package/2006/relationships"><Relationship Type="http://schemas.openxmlformats.org/officeDocument/2006/relationships/hyperlink" Id="rId28" Target="http://www.isprambiente.gov.it/files/temi/siti-contaminati-02marzo08.pdf," TargetMode="External" /><Relationship Type="http://schemas.openxmlformats.org/officeDocument/2006/relationships/hyperlink" Id="rId29" Target="https://esdac.jrc.ec.europa.eu/content/derivation-methods-soil-screening-values-europe-review-and-evaluation-national-procedures,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Confronto fra diversi modelli di calcolo per la valutazione del rischio sanitario-ambientale  di un sito contaminato da idrocarburi             </dc:title>
  <dc:creator>Noemi Cennamo</dc:creator>
  <dcterms:created xsi:type="dcterms:W3CDTF">2020-06-28T11:01:57Z</dcterms:created>
  <dcterms:modified xsi:type="dcterms:W3CDTF">2020-06-28T11:01:57Z</dcterms:modified>
</cp:coreProperties>
</file>